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66" w:rsidRPr="007929CD" w:rsidRDefault="00B87266" w:rsidP="007929CD">
      <w:pPr>
        <w:widowControl/>
        <w:shd w:val="clear" w:color="auto" w:fill="FFFFFF"/>
        <w:spacing w:before="100" w:beforeAutospacing="1" w:after="100" w:afterAutospacing="1" w:line="480" w:lineRule="auto"/>
        <w:jc w:val="center"/>
        <w:rPr>
          <w:rFonts w:ascii="宋体" w:eastAsia="宋体" w:hAnsi="宋体" w:cs="宋体"/>
          <w:b/>
          <w:bCs/>
          <w:color w:val="000000"/>
          <w:kern w:val="0"/>
          <w:sz w:val="44"/>
          <w:szCs w:val="44"/>
        </w:rPr>
      </w:pPr>
      <w:r w:rsidRPr="007929CD">
        <w:rPr>
          <w:rFonts w:ascii="宋体" w:eastAsia="宋体" w:hAnsi="宋体" w:cs="宋体" w:hint="eastAsia"/>
          <w:b/>
          <w:bCs/>
          <w:color w:val="000000"/>
          <w:kern w:val="0"/>
          <w:sz w:val="44"/>
          <w:szCs w:val="44"/>
        </w:rPr>
        <w:t>广州市住房和城乡建设委员会关于规范建筑工程地基基础检测工作的通知</w:t>
      </w:r>
    </w:p>
    <w:p w:rsidR="007929CD" w:rsidRPr="00B87266" w:rsidRDefault="007929CD" w:rsidP="007929CD">
      <w:pPr>
        <w:widowControl/>
        <w:shd w:val="clear" w:color="auto" w:fill="FFFFFF"/>
        <w:spacing w:before="100" w:beforeAutospacing="1" w:after="100" w:afterAutospacing="1" w:line="480" w:lineRule="auto"/>
        <w:jc w:val="center"/>
        <w:rPr>
          <w:rFonts w:ascii="宋体" w:eastAsia="宋体" w:hAnsi="宋体" w:cs="宋体"/>
          <w:color w:val="333333"/>
          <w:kern w:val="0"/>
          <w:sz w:val="24"/>
          <w:szCs w:val="24"/>
        </w:rPr>
      </w:pPr>
      <w:proofErr w:type="gramStart"/>
      <w:r w:rsidRPr="00B87266">
        <w:rPr>
          <w:rFonts w:ascii="宋体" w:eastAsia="宋体" w:hAnsi="宋体" w:cs="宋体" w:hint="eastAsia"/>
          <w:color w:val="333333"/>
          <w:kern w:val="0"/>
          <w:sz w:val="24"/>
          <w:szCs w:val="24"/>
        </w:rPr>
        <w:t>穗建质〔2016〕</w:t>
      </w:r>
      <w:proofErr w:type="gramEnd"/>
      <w:r w:rsidRPr="00B87266">
        <w:rPr>
          <w:rFonts w:ascii="宋体" w:eastAsia="宋体" w:hAnsi="宋体" w:cs="宋体" w:hint="eastAsia"/>
          <w:color w:val="333333"/>
          <w:kern w:val="0"/>
          <w:sz w:val="24"/>
          <w:szCs w:val="24"/>
        </w:rPr>
        <w:t>926号</w:t>
      </w:r>
    </w:p>
    <w:p w:rsidR="00B87266" w:rsidRPr="00B87266" w:rsidRDefault="00B87266" w:rsidP="00B87266">
      <w:pPr>
        <w:widowControl/>
        <w:shd w:val="clear" w:color="auto" w:fill="FFFFFF"/>
        <w:spacing w:before="100" w:beforeAutospacing="1" w:after="100" w:afterAutospacing="1" w:line="480" w:lineRule="auto"/>
        <w:jc w:val="left"/>
        <w:rPr>
          <w:rFonts w:ascii="宋体" w:eastAsia="宋体" w:hAnsi="宋体" w:cs="宋体"/>
          <w:color w:val="333333"/>
          <w:kern w:val="0"/>
          <w:sz w:val="24"/>
          <w:szCs w:val="24"/>
        </w:rPr>
      </w:pPr>
      <w:r w:rsidRPr="00B87266">
        <w:rPr>
          <w:rFonts w:ascii="宋体" w:eastAsia="宋体" w:hAnsi="宋体" w:cs="宋体" w:hint="eastAsia"/>
          <w:color w:val="000000"/>
          <w:spacing w:val="-4"/>
          <w:kern w:val="0"/>
          <w:sz w:val="24"/>
          <w:szCs w:val="24"/>
        </w:rPr>
        <w:t>各有关单位：</w:t>
      </w:r>
    </w:p>
    <w:p w:rsidR="00B87266" w:rsidRPr="00B87266" w:rsidRDefault="00B87266" w:rsidP="007929CD">
      <w:pPr>
        <w:widowControl/>
        <w:shd w:val="clear" w:color="auto" w:fill="FFFFFF"/>
        <w:spacing w:before="100" w:beforeAutospacing="1" w:after="100" w:afterAutospacing="1" w:line="480" w:lineRule="auto"/>
        <w:ind w:firstLineChars="200" w:firstLine="464"/>
        <w:jc w:val="left"/>
        <w:rPr>
          <w:rFonts w:ascii="宋体" w:eastAsia="宋体" w:hAnsi="宋体" w:cs="宋体"/>
          <w:color w:val="333333"/>
          <w:kern w:val="0"/>
          <w:sz w:val="24"/>
          <w:szCs w:val="24"/>
        </w:rPr>
      </w:pPr>
      <w:r w:rsidRPr="00B87266">
        <w:rPr>
          <w:rFonts w:ascii="宋体" w:eastAsia="宋体" w:hAnsi="宋体" w:cs="宋体" w:hint="eastAsia"/>
          <w:color w:val="000000"/>
          <w:spacing w:val="-4"/>
          <w:kern w:val="0"/>
          <w:sz w:val="24"/>
          <w:szCs w:val="24"/>
        </w:rPr>
        <w:t>为规范建筑工程地基基础质量验收检测，保证建筑工程质量，根据《建设工程质量检测管理办法》（建设部令第141号）等有关规定，结合我市实际，现将建筑工程地基基础检测工作的有关事项通知如下：</w:t>
      </w:r>
    </w:p>
    <w:p w:rsidR="00B87266" w:rsidRPr="00B87266" w:rsidRDefault="00B87266" w:rsidP="007929CD">
      <w:pPr>
        <w:widowControl/>
        <w:shd w:val="clear" w:color="auto" w:fill="FFFFFF"/>
        <w:spacing w:before="100" w:beforeAutospacing="1" w:after="100" w:afterAutospacing="1" w:line="480" w:lineRule="auto"/>
        <w:ind w:firstLineChars="200" w:firstLine="466"/>
        <w:jc w:val="left"/>
        <w:rPr>
          <w:rFonts w:ascii="宋体" w:eastAsia="宋体" w:hAnsi="宋体" w:cs="宋体"/>
          <w:color w:val="333333"/>
          <w:kern w:val="0"/>
          <w:sz w:val="24"/>
          <w:szCs w:val="24"/>
        </w:rPr>
      </w:pPr>
      <w:r w:rsidRPr="00B87266">
        <w:rPr>
          <w:rFonts w:ascii="宋体" w:eastAsia="宋体" w:hAnsi="宋体" w:cs="宋体" w:hint="eastAsia"/>
          <w:b/>
          <w:bCs/>
          <w:color w:val="000000"/>
          <w:spacing w:val="-4"/>
          <w:kern w:val="0"/>
          <w:sz w:val="24"/>
          <w:szCs w:val="24"/>
        </w:rPr>
        <w:t>一、</w:t>
      </w:r>
      <w:r w:rsidRPr="00B87266">
        <w:rPr>
          <w:rFonts w:ascii="宋体" w:eastAsia="宋体" w:hAnsi="宋体" w:cs="宋体" w:hint="eastAsia"/>
          <w:color w:val="000000"/>
          <w:spacing w:val="-4"/>
          <w:kern w:val="0"/>
          <w:sz w:val="24"/>
          <w:szCs w:val="24"/>
        </w:rPr>
        <w:t>凡是在本市行政区域内对新建、改建和扩建房屋建筑工程，进行地基基础工程质量验收检测（以下简称地基基础检测）的，应当按本通知执行。</w:t>
      </w:r>
    </w:p>
    <w:p w:rsidR="00B87266" w:rsidRPr="00B87266" w:rsidRDefault="00B87266" w:rsidP="007929CD">
      <w:pPr>
        <w:widowControl/>
        <w:shd w:val="clear" w:color="auto" w:fill="FFFFFF"/>
        <w:spacing w:before="100" w:beforeAutospacing="1" w:after="100" w:afterAutospacing="1" w:line="480" w:lineRule="auto"/>
        <w:ind w:firstLineChars="200" w:firstLine="466"/>
        <w:jc w:val="left"/>
        <w:rPr>
          <w:rFonts w:ascii="宋体" w:eastAsia="宋体" w:hAnsi="宋体" w:cs="宋体"/>
          <w:color w:val="333333"/>
          <w:kern w:val="0"/>
          <w:sz w:val="24"/>
          <w:szCs w:val="24"/>
        </w:rPr>
      </w:pPr>
      <w:r w:rsidRPr="00B87266">
        <w:rPr>
          <w:rFonts w:ascii="宋体" w:eastAsia="宋体" w:hAnsi="宋体" w:cs="宋体" w:hint="eastAsia"/>
          <w:b/>
          <w:bCs/>
          <w:color w:val="000000"/>
          <w:spacing w:val="-4"/>
          <w:kern w:val="0"/>
          <w:sz w:val="24"/>
          <w:szCs w:val="24"/>
        </w:rPr>
        <w:t>二、</w:t>
      </w:r>
      <w:r w:rsidRPr="00B87266">
        <w:rPr>
          <w:rFonts w:ascii="宋体" w:eastAsia="宋体" w:hAnsi="宋体" w:cs="宋体" w:hint="eastAsia"/>
          <w:color w:val="000000"/>
          <w:spacing w:val="-4"/>
          <w:kern w:val="0"/>
          <w:sz w:val="24"/>
          <w:szCs w:val="24"/>
        </w:rPr>
        <w:t>地基基础检测应由建设单位委托工程质量检测机构实施。承接地基基础检测的工程质量检测机构应取得相应资质证书，并纳入市建设行政主管部门信息监督平台的在线监管；其承担的检测项目应通过计量认证；其检测人员应经广州市及以上建设行政主管部门培训合格，持有相应上岗证。</w:t>
      </w:r>
    </w:p>
    <w:p w:rsidR="00B87266" w:rsidRPr="00B87266" w:rsidRDefault="00B87266" w:rsidP="007929CD">
      <w:pPr>
        <w:widowControl/>
        <w:shd w:val="clear" w:color="auto" w:fill="FFFFFF"/>
        <w:spacing w:before="100" w:beforeAutospacing="1" w:after="100" w:afterAutospacing="1" w:line="480" w:lineRule="auto"/>
        <w:ind w:firstLineChars="200" w:firstLine="466"/>
        <w:jc w:val="left"/>
        <w:rPr>
          <w:rFonts w:ascii="宋体" w:eastAsia="宋体" w:hAnsi="宋体" w:cs="宋体"/>
          <w:color w:val="333333"/>
          <w:kern w:val="0"/>
          <w:sz w:val="24"/>
          <w:szCs w:val="24"/>
        </w:rPr>
      </w:pPr>
      <w:r w:rsidRPr="00B87266">
        <w:rPr>
          <w:rFonts w:ascii="宋体" w:eastAsia="宋体" w:hAnsi="宋体" w:cs="宋体" w:hint="eastAsia"/>
          <w:b/>
          <w:bCs/>
          <w:color w:val="000000"/>
          <w:spacing w:val="-4"/>
          <w:kern w:val="0"/>
          <w:sz w:val="24"/>
          <w:szCs w:val="24"/>
        </w:rPr>
        <w:t>三、</w:t>
      </w:r>
      <w:r w:rsidRPr="00B87266">
        <w:rPr>
          <w:rFonts w:ascii="宋体" w:eastAsia="宋体" w:hAnsi="宋体" w:cs="宋体" w:hint="eastAsia"/>
          <w:color w:val="000000"/>
          <w:spacing w:val="-4"/>
          <w:kern w:val="0"/>
          <w:sz w:val="24"/>
          <w:szCs w:val="24"/>
        </w:rPr>
        <w:t>地基基础检测应当遵守国家和地方标准、规范以及《</w:t>
      </w:r>
      <w:bookmarkStart w:id="0" w:name="OLE_LINK1"/>
      <w:r w:rsidRPr="00B87266">
        <w:rPr>
          <w:rFonts w:ascii="宋体" w:eastAsia="宋体" w:hAnsi="宋体" w:cs="宋体" w:hint="eastAsia"/>
          <w:color w:val="333333"/>
          <w:spacing w:val="-4"/>
          <w:kern w:val="0"/>
          <w:sz w:val="24"/>
          <w:szCs w:val="24"/>
        </w:rPr>
        <w:t>地基基础工程质量检测技术指引</w:t>
      </w:r>
      <w:bookmarkEnd w:id="0"/>
      <w:r w:rsidRPr="00B87266">
        <w:rPr>
          <w:rFonts w:ascii="宋体" w:eastAsia="宋体" w:hAnsi="宋体" w:cs="宋体" w:hint="eastAsia"/>
          <w:color w:val="000000"/>
          <w:spacing w:val="-4"/>
          <w:kern w:val="0"/>
          <w:sz w:val="24"/>
          <w:szCs w:val="24"/>
        </w:rPr>
        <w:t>》（详见附件）。</w:t>
      </w:r>
    </w:p>
    <w:p w:rsidR="00B87266" w:rsidRPr="00B87266" w:rsidRDefault="00B87266" w:rsidP="007929CD">
      <w:pPr>
        <w:widowControl/>
        <w:shd w:val="clear" w:color="auto" w:fill="FFFFFF"/>
        <w:spacing w:before="100" w:beforeAutospacing="1" w:after="100" w:afterAutospacing="1" w:line="480" w:lineRule="auto"/>
        <w:ind w:firstLineChars="200" w:firstLine="466"/>
        <w:jc w:val="left"/>
        <w:rPr>
          <w:rFonts w:ascii="宋体" w:eastAsia="宋体" w:hAnsi="宋体" w:cs="宋体"/>
          <w:color w:val="333333"/>
          <w:kern w:val="0"/>
          <w:sz w:val="24"/>
          <w:szCs w:val="24"/>
        </w:rPr>
      </w:pPr>
      <w:r w:rsidRPr="00B87266">
        <w:rPr>
          <w:rFonts w:ascii="宋体" w:eastAsia="宋体" w:hAnsi="宋体" w:cs="宋体" w:hint="eastAsia"/>
          <w:b/>
          <w:bCs/>
          <w:color w:val="000000"/>
          <w:spacing w:val="-4"/>
          <w:kern w:val="0"/>
          <w:sz w:val="24"/>
          <w:szCs w:val="24"/>
        </w:rPr>
        <w:t>四、</w:t>
      </w:r>
      <w:r w:rsidRPr="00B87266">
        <w:rPr>
          <w:rFonts w:ascii="宋体" w:eastAsia="宋体" w:hAnsi="宋体" w:cs="宋体" w:hint="eastAsia"/>
          <w:color w:val="000000"/>
          <w:spacing w:val="-4"/>
          <w:kern w:val="0"/>
          <w:sz w:val="24"/>
          <w:szCs w:val="24"/>
        </w:rPr>
        <w:t>设计等级为甲级的地基基础工程采用两种或以上的方法进行检测的，宜由两家或以上的工程质量检测机构进行检测。</w:t>
      </w:r>
    </w:p>
    <w:p w:rsidR="00B87266" w:rsidRPr="00B87266" w:rsidRDefault="00B87266" w:rsidP="007929CD">
      <w:pPr>
        <w:widowControl/>
        <w:shd w:val="clear" w:color="auto" w:fill="FFFFFF"/>
        <w:spacing w:before="100" w:beforeAutospacing="1" w:after="100" w:afterAutospacing="1" w:line="480" w:lineRule="auto"/>
        <w:ind w:firstLineChars="200" w:firstLine="466"/>
        <w:jc w:val="left"/>
        <w:rPr>
          <w:rFonts w:ascii="宋体" w:eastAsia="宋体" w:hAnsi="宋体" w:cs="宋体"/>
          <w:color w:val="333333"/>
          <w:kern w:val="0"/>
          <w:sz w:val="24"/>
          <w:szCs w:val="24"/>
        </w:rPr>
      </w:pPr>
      <w:r w:rsidRPr="00B87266">
        <w:rPr>
          <w:rFonts w:ascii="宋体" w:eastAsia="宋体" w:hAnsi="宋体" w:cs="宋体" w:hint="eastAsia"/>
          <w:b/>
          <w:bCs/>
          <w:color w:val="000000"/>
          <w:spacing w:val="-4"/>
          <w:kern w:val="0"/>
          <w:sz w:val="24"/>
          <w:szCs w:val="24"/>
        </w:rPr>
        <w:t>五、</w:t>
      </w:r>
      <w:r w:rsidRPr="00B87266">
        <w:rPr>
          <w:rFonts w:ascii="宋体" w:eastAsia="宋体" w:hAnsi="宋体" w:cs="宋体" w:hint="eastAsia"/>
          <w:color w:val="000000"/>
          <w:spacing w:val="-4"/>
          <w:kern w:val="0"/>
          <w:sz w:val="24"/>
          <w:szCs w:val="24"/>
        </w:rPr>
        <w:t>单位工程的同一检测项目采用同一检测方法的，原则上只能由同一家工程质量检测机构完成检测工作；同一批抽检的结果应出具在同</w:t>
      </w:r>
      <w:proofErr w:type="gramStart"/>
      <w:r w:rsidRPr="00B87266">
        <w:rPr>
          <w:rFonts w:ascii="宋体" w:eastAsia="宋体" w:hAnsi="宋体" w:cs="宋体" w:hint="eastAsia"/>
          <w:color w:val="000000"/>
          <w:spacing w:val="-4"/>
          <w:kern w:val="0"/>
          <w:sz w:val="24"/>
          <w:szCs w:val="24"/>
        </w:rPr>
        <w:t>一报告</w:t>
      </w:r>
      <w:proofErr w:type="gramEnd"/>
      <w:r w:rsidRPr="00B87266">
        <w:rPr>
          <w:rFonts w:ascii="宋体" w:eastAsia="宋体" w:hAnsi="宋体" w:cs="宋体" w:hint="eastAsia"/>
          <w:color w:val="000000"/>
          <w:spacing w:val="-4"/>
          <w:kern w:val="0"/>
          <w:sz w:val="24"/>
          <w:szCs w:val="24"/>
        </w:rPr>
        <w:t>上，不得将不合格或异常的检</w:t>
      </w:r>
      <w:r w:rsidRPr="00B87266">
        <w:rPr>
          <w:rFonts w:ascii="宋体" w:eastAsia="宋体" w:hAnsi="宋体" w:cs="宋体" w:hint="eastAsia"/>
          <w:color w:val="000000"/>
          <w:spacing w:val="-4"/>
          <w:kern w:val="0"/>
          <w:sz w:val="24"/>
          <w:szCs w:val="24"/>
        </w:rPr>
        <w:lastRenderedPageBreak/>
        <w:t>测结果另行单独出具检测报告；对检测结果有争议的，应报请工程质量监督机构协调处理。检测报告必须要有明确的合格与否，或是否满足设计要求的结论。</w:t>
      </w:r>
    </w:p>
    <w:p w:rsidR="00B87266" w:rsidRPr="00B87266" w:rsidRDefault="00B87266" w:rsidP="007929CD">
      <w:pPr>
        <w:widowControl/>
        <w:shd w:val="clear" w:color="auto" w:fill="FFFFFF"/>
        <w:spacing w:before="100" w:beforeAutospacing="1" w:after="100" w:afterAutospacing="1" w:line="480" w:lineRule="auto"/>
        <w:ind w:firstLineChars="200" w:firstLine="466"/>
        <w:jc w:val="left"/>
        <w:rPr>
          <w:rFonts w:ascii="宋体" w:eastAsia="宋体" w:hAnsi="宋体" w:cs="宋体"/>
          <w:color w:val="333333"/>
          <w:kern w:val="0"/>
          <w:sz w:val="24"/>
          <w:szCs w:val="24"/>
        </w:rPr>
      </w:pPr>
      <w:r w:rsidRPr="00B87266">
        <w:rPr>
          <w:rFonts w:ascii="宋体" w:eastAsia="宋体" w:hAnsi="宋体" w:cs="宋体" w:hint="eastAsia"/>
          <w:b/>
          <w:bCs/>
          <w:color w:val="000000"/>
          <w:spacing w:val="-4"/>
          <w:kern w:val="0"/>
          <w:sz w:val="24"/>
          <w:szCs w:val="24"/>
        </w:rPr>
        <w:t>六、</w:t>
      </w:r>
      <w:r w:rsidRPr="00B87266">
        <w:rPr>
          <w:rFonts w:ascii="宋体" w:eastAsia="宋体" w:hAnsi="宋体" w:cs="宋体" w:hint="eastAsia"/>
          <w:color w:val="000000"/>
          <w:spacing w:val="-4"/>
          <w:kern w:val="0"/>
          <w:sz w:val="24"/>
          <w:szCs w:val="24"/>
        </w:rPr>
        <w:t>对地基基础检测结果有异议的，应进行验证检测；地基基础检测结果不满足原设计要求的，应按照有关规定研究确定处理方案或扩大抽检的方法及数量。</w:t>
      </w:r>
      <w:r w:rsidRPr="00B87266">
        <w:rPr>
          <w:rFonts w:ascii="宋体" w:eastAsia="宋体" w:hAnsi="宋体" w:cs="宋体" w:hint="eastAsia"/>
          <w:color w:val="000000"/>
          <w:spacing w:val="-4"/>
          <w:kern w:val="0"/>
          <w:sz w:val="24"/>
          <w:szCs w:val="24"/>
        </w:rPr>
        <w:br/>
        <w:t>    验证检测和扩大抽检发现异常或不符合设计要求后，应当研究确定处理方案和进一步抽检的方案。</w:t>
      </w:r>
    </w:p>
    <w:p w:rsidR="00B87266" w:rsidRPr="00B87266" w:rsidRDefault="00B87266" w:rsidP="007929CD">
      <w:pPr>
        <w:widowControl/>
        <w:shd w:val="clear" w:color="auto" w:fill="FFFFFF"/>
        <w:spacing w:before="100" w:beforeAutospacing="1" w:after="100" w:afterAutospacing="1" w:line="480" w:lineRule="auto"/>
        <w:ind w:firstLineChars="200" w:firstLine="466"/>
        <w:jc w:val="left"/>
        <w:rPr>
          <w:rFonts w:ascii="宋体" w:eastAsia="宋体" w:hAnsi="宋体" w:cs="宋体"/>
          <w:color w:val="333333"/>
          <w:kern w:val="0"/>
          <w:sz w:val="24"/>
          <w:szCs w:val="24"/>
        </w:rPr>
      </w:pPr>
      <w:r w:rsidRPr="00B87266">
        <w:rPr>
          <w:rFonts w:ascii="宋体" w:eastAsia="宋体" w:hAnsi="宋体" w:cs="宋体" w:hint="eastAsia"/>
          <w:b/>
          <w:bCs/>
          <w:color w:val="000000"/>
          <w:spacing w:val="-4"/>
          <w:kern w:val="0"/>
          <w:sz w:val="24"/>
          <w:szCs w:val="24"/>
        </w:rPr>
        <w:t>七、</w:t>
      </w:r>
      <w:r w:rsidRPr="00B87266">
        <w:rPr>
          <w:rFonts w:ascii="宋体" w:eastAsia="宋体" w:hAnsi="宋体" w:cs="宋体" w:hint="eastAsia"/>
          <w:color w:val="000000"/>
          <w:spacing w:val="-4"/>
          <w:kern w:val="0"/>
          <w:sz w:val="24"/>
          <w:szCs w:val="24"/>
        </w:rPr>
        <w:t>地基基础检测（含验证检测、扩大检测、不符合原设计要求的处理）方案必须由建设单位会同勘察设计、施工、监理等有关单位制定，在报送工程质量监督机构后实施。地基基础检测方案的主要内容包括：工程概况、工程地质状况、设计要求、地基基础类型及数量、检测方法、检测数量等。工程规模较大，分区（段）施工的工程，可采取分区（段）进行检测，应在方案中明确各区（段）的检测方法和数量，同类地基的抽检位置宜均匀分布。</w:t>
      </w:r>
    </w:p>
    <w:p w:rsidR="00B87266" w:rsidRPr="00B87266" w:rsidRDefault="00B87266" w:rsidP="007929CD">
      <w:pPr>
        <w:widowControl/>
        <w:shd w:val="clear" w:color="auto" w:fill="FFFFFF"/>
        <w:spacing w:before="100" w:beforeAutospacing="1" w:after="100" w:afterAutospacing="1" w:line="480" w:lineRule="auto"/>
        <w:ind w:firstLineChars="200" w:firstLine="466"/>
        <w:jc w:val="left"/>
        <w:rPr>
          <w:rFonts w:ascii="宋体" w:eastAsia="宋体" w:hAnsi="宋体" w:cs="宋体"/>
          <w:color w:val="333333"/>
          <w:kern w:val="0"/>
          <w:sz w:val="24"/>
          <w:szCs w:val="24"/>
        </w:rPr>
      </w:pPr>
      <w:r w:rsidRPr="00B87266">
        <w:rPr>
          <w:rFonts w:ascii="宋体" w:eastAsia="宋体" w:hAnsi="宋体" w:cs="宋体" w:hint="eastAsia"/>
          <w:b/>
          <w:bCs/>
          <w:color w:val="000000"/>
          <w:spacing w:val="-4"/>
          <w:kern w:val="0"/>
          <w:sz w:val="24"/>
          <w:szCs w:val="24"/>
        </w:rPr>
        <w:t>八、</w:t>
      </w:r>
      <w:r w:rsidRPr="00B87266">
        <w:rPr>
          <w:rFonts w:ascii="宋体" w:eastAsia="宋体" w:hAnsi="宋体" w:cs="宋体" w:hint="eastAsia"/>
          <w:color w:val="000000"/>
          <w:spacing w:val="-4"/>
          <w:kern w:val="0"/>
          <w:sz w:val="24"/>
          <w:szCs w:val="24"/>
        </w:rPr>
        <w:t>地基基础各分项、分部工程应按地基基础检测（或验证检测、扩大检测）方案检测，检测结果不合格或经处理仍不满足设计要求的，不得进行下一道工序的施工。</w:t>
      </w:r>
    </w:p>
    <w:p w:rsidR="00B87266" w:rsidRPr="00B87266" w:rsidRDefault="00B87266" w:rsidP="007929CD">
      <w:pPr>
        <w:widowControl/>
        <w:shd w:val="clear" w:color="auto" w:fill="FFFFFF"/>
        <w:spacing w:before="100" w:beforeAutospacing="1" w:after="100" w:afterAutospacing="1" w:line="480" w:lineRule="auto"/>
        <w:ind w:firstLineChars="200" w:firstLine="466"/>
        <w:jc w:val="left"/>
        <w:rPr>
          <w:rFonts w:ascii="宋体" w:eastAsia="宋体" w:hAnsi="宋体" w:cs="宋体"/>
          <w:color w:val="333333"/>
          <w:kern w:val="0"/>
          <w:sz w:val="24"/>
          <w:szCs w:val="24"/>
        </w:rPr>
      </w:pPr>
      <w:r w:rsidRPr="00B87266">
        <w:rPr>
          <w:rFonts w:ascii="宋体" w:eastAsia="宋体" w:hAnsi="宋体" w:cs="宋体" w:hint="eastAsia"/>
          <w:b/>
          <w:bCs/>
          <w:color w:val="000000"/>
          <w:spacing w:val="-4"/>
          <w:kern w:val="0"/>
          <w:sz w:val="24"/>
          <w:szCs w:val="24"/>
        </w:rPr>
        <w:t>九、</w:t>
      </w:r>
      <w:r w:rsidRPr="00B87266">
        <w:rPr>
          <w:rFonts w:ascii="宋体" w:eastAsia="宋体" w:hAnsi="宋体" w:cs="宋体" w:hint="eastAsia"/>
          <w:color w:val="000000"/>
          <w:spacing w:val="-4"/>
          <w:kern w:val="0"/>
          <w:sz w:val="24"/>
          <w:szCs w:val="24"/>
        </w:rPr>
        <w:t>本市行政区域内新建、改建和扩建的市政基础设施工程，参照本通知执行。</w:t>
      </w:r>
    </w:p>
    <w:p w:rsidR="00B87266" w:rsidRPr="00B87266" w:rsidRDefault="00B87266" w:rsidP="007929CD">
      <w:pPr>
        <w:widowControl/>
        <w:shd w:val="clear" w:color="auto" w:fill="FFFFFF"/>
        <w:spacing w:before="100" w:beforeAutospacing="1" w:after="100" w:afterAutospacing="1" w:line="480" w:lineRule="auto"/>
        <w:ind w:firstLineChars="200" w:firstLine="466"/>
        <w:jc w:val="left"/>
        <w:rPr>
          <w:rFonts w:ascii="宋体" w:eastAsia="宋体" w:hAnsi="宋体" w:cs="宋体"/>
          <w:color w:val="333333"/>
          <w:kern w:val="0"/>
          <w:sz w:val="24"/>
          <w:szCs w:val="24"/>
        </w:rPr>
      </w:pPr>
      <w:r w:rsidRPr="00B87266">
        <w:rPr>
          <w:rFonts w:ascii="宋体" w:eastAsia="宋体" w:hAnsi="宋体" w:cs="宋体" w:hint="eastAsia"/>
          <w:b/>
          <w:bCs/>
          <w:color w:val="000000"/>
          <w:spacing w:val="-4"/>
          <w:kern w:val="0"/>
          <w:sz w:val="24"/>
          <w:szCs w:val="24"/>
        </w:rPr>
        <w:t>十、</w:t>
      </w:r>
      <w:r w:rsidRPr="00B87266">
        <w:rPr>
          <w:rFonts w:ascii="宋体" w:eastAsia="宋体" w:hAnsi="宋体" w:cs="宋体" w:hint="eastAsia"/>
          <w:color w:val="000000"/>
          <w:spacing w:val="-4"/>
          <w:kern w:val="0"/>
          <w:sz w:val="24"/>
          <w:szCs w:val="24"/>
        </w:rPr>
        <w:t>本通知自2016年6月1日起施行，有效期五年。有效期届满，根据实施情况依法进行评估修订。</w:t>
      </w:r>
    </w:p>
    <w:p w:rsidR="00B87266" w:rsidRPr="00B87266" w:rsidRDefault="00B87266" w:rsidP="00B87266">
      <w:pPr>
        <w:widowControl/>
        <w:shd w:val="clear" w:color="auto" w:fill="FFFFFF"/>
        <w:spacing w:before="100" w:beforeAutospacing="1" w:after="100" w:afterAutospacing="1" w:line="480" w:lineRule="auto"/>
        <w:ind w:firstLine="420"/>
        <w:jc w:val="left"/>
        <w:rPr>
          <w:rFonts w:ascii="宋体" w:eastAsia="宋体" w:hAnsi="宋体" w:cs="宋体"/>
          <w:color w:val="333333"/>
          <w:kern w:val="0"/>
          <w:sz w:val="24"/>
          <w:szCs w:val="24"/>
        </w:rPr>
      </w:pPr>
      <w:r w:rsidRPr="00B87266">
        <w:rPr>
          <w:rFonts w:ascii="宋体" w:eastAsia="宋体" w:hAnsi="宋体" w:cs="宋体" w:hint="eastAsia"/>
          <w:color w:val="000000"/>
          <w:spacing w:val="-4"/>
          <w:kern w:val="0"/>
          <w:sz w:val="24"/>
          <w:szCs w:val="24"/>
        </w:rPr>
        <w:t>  附件：地基基础工程质量检测技术指引</w:t>
      </w:r>
    </w:p>
    <w:p w:rsidR="00B87266" w:rsidRPr="00B87266" w:rsidRDefault="00B87266" w:rsidP="00B87266">
      <w:pPr>
        <w:widowControl/>
        <w:shd w:val="clear" w:color="auto" w:fill="FFFFFF"/>
        <w:spacing w:before="100" w:beforeAutospacing="1" w:after="100" w:afterAutospacing="1" w:line="480" w:lineRule="auto"/>
        <w:ind w:firstLine="3320"/>
        <w:jc w:val="left"/>
        <w:rPr>
          <w:rFonts w:ascii="宋体" w:eastAsia="宋体" w:hAnsi="宋体" w:cs="宋体"/>
          <w:color w:val="333333"/>
          <w:kern w:val="0"/>
          <w:sz w:val="24"/>
          <w:szCs w:val="24"/>
        </w:rPr>
      </w:pPr>
      <w:r w:rsidRPr="00B87266">
        <w:rPr>
          <w:rFonts w:ascii="宋体" w:eastAsia="宋体" w:hAnsi="宋体" w:cs="宋体" w:hint="eastAsia"/>
          <w:color w:val="000000"/>
          <w:spacing w:val="-4"/>
          <w:kern w:val="0"/>
          <w:sz w:val="24"/>
          <w:szCs w:val="24"/>
        </w:rPr>
        <w:t> </w:t>
      </w:r>
    </w:p>
    <w:p w:rsidR="00B87266" w:rsidRPr="00B87266" w:rsidRDefault="00B87266" w:rsidP="00B87266">
      <w:pPr>
        <w:widowControl/>
        <w:shd w:val="clear" w:color="auto" w:fill="FFFFFF"/>
        <w:spacing w:before="100" w:beforeAutospacing="1" w:after="100" w:afterAutospacing="1" w:line="480" w:lineRule="auto"/>
        <w:ind w:firstLine="3320"/>
        <w:jc w:val="left"/>
        <w:rPr>
          <w:rFonts w:ascii="宋体" w:eastAsia="宋体" w:hAnsi="宋体" w:cs="宋体"/>
          <w:color w:val="333333"/>
          <w:kern w:val="0"/>
          <w:sz w:val="24"/>
          <w:szCs w:val="24"/>
        </w:rPr>
      </w:pPr>
      <w:r w:rsidRPr="00B87266">
        <w:rPr>
          <w:rFonts w:ascii="宋体" w:eastAsia="宋体" w:hAnsi="宋体" w:cs="宋体" w:hint="eastAsia"/>
          <w:color w:val="000000"/>
          <w:spacing w:val="-4"/>
          <w:kern w:val="0"/>
          <w:sz w:val="24"/>
          <w:szCs w:val="24"/>
        </w:rPr>
        <w:t> </w:t>
      </w:r>
    </w:p>
    <w:p w:rsidR="00B87266" w:rsidRPr="00B87266" w:rsidRDefault="00B87266" w:rsidP="00B87266">
      <w:pPr>
        <w:widowControl/>
        <w:shd w:val="clear" w:color="auto" w:fill="FFFFFF"/>
        <w:spacing w:before="100" w:beforeAutospacing="1" w:after="100" w:afterAutospacing="1" w:line="480" w:lineRule="auto"/>
        <w:ind w:firstLine="3320"/>
        <w:jc w:val="right"/>
        <w:rPr>
          <w:rFonts w:ascii="宋体" w:eastAsia="宋体" w:hAnsi="宋体" w:cs="宋体"/>
          <w:color w:val="333333"/>
          <w:kern w:val="0"/>
          <w:sz w:val="24"/>
          <w:szCs w:val="24"/>
        </w:rPr>
      </w:pPr>
      <w:r w:rsidRPr="00B87266">
        <w:rPr>
          <w:rFonts w:ascii="宋体" w:eastAsia="宋体" w:hAnsi="宋体" w:cs="宋体" w:hint="eastAsia"/>
          <w:color w:val="000000"/>
          <w:spacing w:val="-4"/>
          <w:kern w:val="0"/>
          <w:sz w:val="24"/>
          <w:szCs w:val="24"/>
        </w:rPr>
        <w:lastRenderedPageBreak/>
        <w:t>广州市住房和城乡建设委员会</w:t>
      </w:r>
    </w:p>
    <w:p w:rsidR="00B87266" w:rsidRPr="00B87266" w:rsidRDefault="00B87266" w:rsidP="00B87266">
      <w:pPr>
        <w:widowControl/>
        <w:shd w:val="clear" w:color="auto" w:fill="FFFFFF"/>
        <w:spacing w:before="100" w:beforeAutospacing="1" w:after="100" w:afterAutospacing="1" w:line="480" w:lineRule="auto"/>
        <w:ind w:firstLine="4016"/>
        <w:jc w:val="right"/>
        <w:rPr>
          <w:rFonts w:ascii="宋体" w:eastAsia="宋体" w:hAnsi="宋体" w:cs="宋体"/>
          <w:color w:val="333333"/>
          <w:kern w:val="0"/>
          <w:sz w:val="24"/>
          <w:szCs w:val="24"/>
        </w:rPr>
      </w:pPr>
      <w:r w:rsidRPr="00B87266">
        <w:rPr>
          <w:rFonts w:ascii="宋体" w:eastAsia="宋体" w:hAnsi="宋体" w:cs="宋体" w:hint="eastAsia"/>
          <w:color w:val="000000"/>
          <w:spacing w:val="-4"/>
          <w:kern w:val="0"/>
          <w:sz w:val="24"/>
          <w:szCs w:val="24"/>
        </w:rPr>
        <w:t>2016年5月20日</w:t>
      </w:r>
    </w:p>
    <w:p w:rsidR="002B5DC7" w:rsidRDefault="002B5DC7"/>
    <w:p w:rsidR="00553FF9" w:rsidRDefault="00553FF9"/>
    <w:p w:rsidR="00553FF9" w:rsidRDefault="00553FF9"/>
    <w:p w:rsidR="00553FF9" w:rsidRPr="00560A9F" w:rsidRDefault="00553FF9" w:rsidP="00553FF9">
      <w:pPr>
        <w:spacing w:line="480" w:lineRule="auto"/>
        <w:rPr>
          <w:rFonts w:ascii="宋体" w:eastAsia="宋体" w:hAnsi="宋体"/>
          <w:color w:val="000000"/>
          <w:kern w:val="0"/>
          <w:sz w:val="24"/>
          <w:szCs w:val="24"/>
        </w:rPr>
      </w:pPr>
      <w:r w:rsidRPr="00560A9F">
        <w:rPr>
          <w:rFonts w:ascii="宋体" w:eastAsia="宋体" w:hAnsi="宋体" w:hint="eastAsia"/>
          <w:bCs/>
          <w:color w:val="000000"/>
          <w:kern w:val="0"/>
          <w:sz w:val="24"/>
          <w:szCs w:val="24"/>
        </w:rPr>
        <w:t>附件</w:t>
      </w:r>
    </w:p>
    <w:p w:rsidR="00553FF9" w:rsidRPr="00560A9F" w:rsidRDefault="00553FF9" w:rsidP="00553FF9">
      <w:pPr>
        <w:spacing w:line="480" w:lineRule="auto"/>
        <w:ind w:firstLineChars="50" w:firstLine="120"/>
        <w:jc w:val="center"/>
        <w:rPr>
          <w:rFonts w:ascii="宋体" w:eastAsia="宋体" w:hAnsi="宋体"/>
          <w:color w:val="000000"/>
          <w:sz w:val="24"/>
          <w:szCs w:val="24"/>
        </w:rPr>
      </w:pPr>
      <w:r w:rsidRPr="00560A9F">
        <w:rPr>
          <w:rFonts w:ascii="宋体" w:eastAsia="宋体" w:hAnsi="宋体" w:hint="eastAsia"/>
          <w:color w:val="000000"/>
          <w:sz w:val="24"/>
          <w:szCs w:val="24"/>
        </w:rPr>
        <w:t>地基基础工程质量检测技术指引</w:t>
      </w:r>
    </w:p>
    <w:p w:rsidR="00553FF9" w:rsidRPr="00560A9F" w:rsidRDefault="00553FF9" w:rsidP="00553FF9">
      <w:pPr>
        <w:spacing w:line="480" w:lineRule="auto"/>
        <w:ind w:firstLineChars="500" w:firstLine="1200"/>
        <w:rPr>
          <w:rFonts w:ascii="宋体" w:eastAsia="宋体" w:hAnsi="宋体"/>
          <w:color w:val="000000"/>
          <w:sz w:val="24"/>
          <w:szCs w:val="24"/>
        </w:rPr>
      </w:pP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bCs/>
          <w:color w:val="000000"/>
          <w:sz w:val="24"/>
          <w:szCs w:val="24"/>
        </w:rPr>
        <w:t>为保证地基基础质量检测的规范性、准确性和公正性，根据国家、行业、省的相关技术规范、标准，结合我市实际制定</w:t>
      </w:r>
      <w:r w:rsidRPr="00560A9F">
        <w:rPr>
          <w:rFonts w:ascii="宋体" w:eastAsia="宋体" w:hAnsi="宋体" w:hint="eastAsia"/>
          <w:color w:val="000000"/>
          <w:sz w:val="24"/>
          <w:szCs w:val="24"/>
        </w:rPr>
        <w:t>本指引。</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一、地基基础工程的检测项目、方法及数量</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地基基础检测应符合地基基础工程质量检测的项目、方法和数量表（详见附表）以及下列规定：</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（一）地基基础工程质量检测抽检应按单位工程计算。</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（二）同一单位工程采用不同地基基础类型时，应分别确定检测方法和抽检数量；同一单位工程中采用不同桩型或不同地基处理方法时，按相关规定分别确定检测方法和抽检数量。</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（三）地基基础设计等级为丙级，且各单位工程的桩总数少于30根或复合地基处理面积小于</w:t>
      </w:r>
      <w:smartTag w:uri="urn:schemas-microsoft-com:office:smarttags" w:element="chmetcnv">
        <w:smartTagPr>
          <w:attr w:name="UnitName" w:val="m2"/>
          <w:attr w:name="SourceValue" w:val="300"/>
          <w:attr w:name="HasSpace" w:val="False"/>
          <w:attr w:name="Negative" w:val="False"/>
          <w:attr w:name="NumberType" w:val="1"/>
          <w:attr w:name="TCSC" w:val="0"/>
        </w:smartTagPr>
        <w:r w:rsidRPr="00560A9F">
          <w:rPr>
            <w:rFonts w:ascii="宋体" w:eastAsia="宋体" w:hAnsi="宋体" w:hint="eastAsia"/>
            <w:color w:val="000000"/>
            <w:sz w:val="24"/>
            <w:szCs w:val="24"/>
          </w:rPr>
          <w:t>300m</w:t>
        </w:r>
        <w:r w:rsidRPr="00560A9F">
          <w:rPr>
            <w:rFonts w:ascii="宋体" w:eastAsia="宋体" w:hAnsi="宋体" w:hint="eastAsia"/>
            <w:color w:val="000000"/>
            <w:sz w:val="24"/>
            <w:szCs w:val="24"/>
            <w:vertAlign w:val="superscript"/>
          </w:rPr>
          <w:t>2</w:t>
        </w:r>
      </w:smartTag>
      <w:r w:rsidRPr="00560A9F">
        <w:rPr>
          <w:rFonts w:ascii="宋体" w:eastAsia="宋体" w:hAnsi="宋体" w:hint="eastAsia"/>
          <w:color w:val="000000"/>
          <w:sz w:val="24"/>
          <w:szCs w:val="24"/>
        </w:rPr>
        <w:t>，可将地质条件相近，施工工艺相同的若干个单位工程合并起来，确定抽检数量，但应对每个单位工程进行承载力抽检。对每个单位工程的承载力抽检数量为：当采用静载试验时不得少于1根、当采用高应变法时不得少于2根、当采用平板载荷试验时不得少于2点。</w:t>
      </w:r>
    </w:p>
    <w:p w:rsidR="00553FF9" w:rsidRPr="00560A9F" w:rsidRDefault="00553FF9" w:rsidP="00553FF9">
      <w:pPr>
        <w:spacing w:line="480" w:lineRule="auto"/>
        <w:ind w:firstLineChars="200" w:firstLine="480"/>
        <w:rPr>
          <w:rFonts w:ascii="宋体" w:eastAsia="宋体" w:hAnsi="宋体"/>
          <w:bCs/>
          <w:color w:val="000000"/>
          <w:sz w:val="24"/>
          <w:szCs w:val="24"/>
        </w:rPr>
      </w:pPr>
      <w:r w:rsidRPr="00560A9F">
        <w:rPr>
          <w:rFonts w:ascii="宋体" w:eastAsia="宋体" w:hAnsi="宋体" w:hint="eastAsia"/>
          <w:bCs/>
          <w:color w:val="000000"/>
          <w:sz w:val="24"/>
          <w:szCs w:val="24"/>
        </w:rPr>
        <w:t>（四）采用</w:t>
      </w:r>
      <w:r w:rsidRPr="00560A9F">
        <w:rPr>
          <w:rFonts w:ascii="宋体" w:eastAsia="宋体" w:hAnsi="宋体" w:hint="eastAsia"/>
          <w:color w:val="000000"/>
          <w:sz w:val="24"/>
          <w:szCs w:val="24"/>
        </w:rPr>
        <w:t>声波透射法、低应变法、高应变、</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等对桩身质量进行检测，当检测结果不能对整桩桩身质量进行评定或难于判定其整桩的质量类别时，应采用</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等</w:t>
      </w:r>
      <w:r w:rsidRPr="00560A9F">
        <w:rPr>
          <w:rFonts w:ascii="宋体" w:eastAsia="宋体" w:hAnsi="宋体" w:hint="eastAsia"/>
          <w:color w:val="000000"/>
          <w:sz w:val="24"/>
          <w:szCs w:val="24"/>
        </w:rPr>
        <w:lastRenderedPageBreak/>
        <w:t>适当的方法进行复检。</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（五）桩身质量检测采用两种及以上方法的，抽测数量按实际检测的桩的数量计算，不得重复计算。</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（六）工程桩的检测宜先进行桩身完整性检测，后进行承载力检测；当基础埋深较大时，桩身完整性检测宜在基坑开挖至基底标高后进行。</w:t>
      </w:r>
    </w:p>
    <w:p w:rsidR="00553FF9" w:rsidRPr="00560A9F" w:rsidRDefault="00553FF9" w:rsidP="00553FF9">
      <w:pPr>
        <w:spacing w:line="480" w:lineRule="auto"/>
        <w:ind w:firstLineChars="225" w:firstLine="540"/>
        <w:rPr>
          <w:rFonts w:ascii="宋体" w:eastAsia="宋体" w:hAnsi="宋体"/>
          <w:color w:val="000000"/>
          <w:sz w:val="24"/>
          <w:szCs w:val="24"/>
        </w:rPr>
      </w:pPr>
      <w:r w:rsidRPr="00560A9F">
        <w:rPr>
          <w:rFonts w:ascii="宋体" w:eastAsia="宋体" w:hAnsi="宋体" w:hint="eastAsia"/>
          <w:color w:val="000000"/>
          <w:sz w:val="24"/>
          <w:szCs w:val="24"/>
        </w:rPr>
        <w:t>二、验证检测</w:t>
      </w:r>
    </w:p>
    <w:p w:rsidR="00553FF9" w:rsidRPr="00560A9F" w:rsidRDefault="00553FF9" w:rsidP="00553FF9">
      <w:pPr>
        <w:spacing w:line="480" w:lineRule="auto"/>
        <w:ind w:firstLineChars="200" w:firstLine="480"/>
        <w:rPr>
          <w:rFonts w:ascii="宋体" w:eastAsia="宋体" w:hAnsi="宋体"/>
          <w:bCs/>
          <w:color w:val="000000"/>
          <w:sz w:val="24"/>
          <w:szCs w:val="24"/>
        </w:rPr>
      </w:pPr>
      <w:r w:rsidRPr="00560A9F">
        <w:rPr>
          <w:rFonts w:ascii="宋体" w:eastAsia="宋体" w:hAnsi="宋体" w:hint="eastAsia"/>
          <w:bCs/>
          <w:color w:val="000000"/>
          <w:sz w:val="24"/>
          <w:szCs w:val="24"/>
        </w:rPr>
        <w:t>当对检测结果有异议时，应在原试验点附近重新选点进行试验或在原受检桩上进行验证检测，验证检测的抽检数量宜根据实际情况确定，可以采用以下方法：</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bCs/>
          <w:color w:val="000000"/>
          <w:sz w:val="24"/>
          <w:szCs w:val="24"/>
        </w:rPr>
        <w:t>（一）可采用平板载荷试验，结合</w:t>
      </w:r>
      <w:r w:rsidRPr="00560A9F">
        <w:rPr>
          <w:rFonts w:ascii="宋体" w:eastAsia="宋体" w:hAnsi="宋体" w:hint="eastAsia"/>
          <w:color w:val="000000"/>
          <w:sz w:val="24"/>
          <w:szCs w:val="24"/>
        </w:rPr>
        <w:t>标准贯入试验、静力触探试验、圆锥动力触探试验、十字板剪切试验等方法，对地基基础承载力是否符合设计要求进行综合分析评价；</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（二）桩身浅部缺陷可采用开挖验证；</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（三）桩身存在缺陷的预制桩可采用高应变法进行验证，必要时还应进行水平荷载试验或竖向抗拔静载试验；</w:t>
      </w:r>
    </w:p>
    <w:p w:rsidR="00553FF9" w:rsidRPr="00560A9F" w:rsidRDefault="00553FF9" w:rsidP="00553FF9">
      <w:pPr>
        <w:spacing w:line="480" w:lineRule="auto"/>
        <w:ind w:firstLineChars="180" w:firstLine="432"/>
        <w:rPr>
          <w:rFonts w:ascii="宋体" w:eastAsia="宋体" w:hAnsi="宋体"/>
          <w:color w:val="000000"/>
          <w:sz w:val="24"/>
          <w:szCs w:val="24"/>
        </w:rPr>
      </w:pPr>
      <w:r w:rsidRPr="00560A9F">
        <w:rPr>
          <w:rFonts w:ascii="宋体" w:eastAsia="宋体" w:hAnsi="宋体" w:hint="eastAsia"/>
          <w:color w:val="000000"/>
          <w:sz w:val="24"/>
          <w:szCs w:val="24"/>
        </w:rPr>
        <w:t>（四）可根据实际情况采用静载法、</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、高应变法、开挖等方法验证低应变法检测结果；</w:t>
      </w:r>
    </w:p>
    <w:p w:rsidR="00553FF9" w:rsidRPr="00560A9F" w:rsidRDefault="00553FF9" w:rsidP="00553FF9">
      <w:pPr>
        <w:spacing w:line="480" w:lineRule="auto"/>
        <w:ind w:firstLineChars="200" w:firstLine="480"/>
        <w:rPr>
          <w:rFonts w:ascii="宋体" w:eastAsia="宋体" w:hAnsi="宋体"/>
          <w:bCs/>
          <w:color w:val="000000"/>
          <w:sz w:val="24"/>
          <w:szCs w:val="24"/>
        </w:rPr>
      </w:pPr>
      <w:r w:rsidRPr="00560A9F">
        <w:rPr>
          <w:rFonts w:ascii="宋体" w:eastAsia="宋体" w:hAnsi="宋体" w:hint="eastAsia"/>
          <w:bCs/>
          <w:color w:val="000000"/>
          <w:sz w:val="24"/>
          <w:szCs w:val="24"/>
        </w:rPr>
        <w:t>（五）对于声波透射法检测结果有异议的，可重新用声波透射法检测，或在同一根</w:t>
      </w:r>
      <w:proofErr w:type="gramStart"/>
      <w:r w:rsidRPr="00560A9F">
        <w:rPr>
          <w:rFonts w:ascii="宋体" w:eastAsia="宋体" w:hAnsi="宋体" w:hint="eastAsia"/>
          <w:bCs/>
          <w:color w:val="000000"/>
          <w:sz w:val="24"/>
          <w:szCs w:val="24"/>
        </w:rPr>
        <w:t>桩用钻芯法</w:t>
      </w:r>
      <w:proofErr w:type="gramEnd"/>
      <w:r w:rsidRPr="00560A9F">
        <w:rPr>
          <w:rFonts w:ascii="宋体" w:eastAsia="宋体" w:hAnsi="宋体" w:hint="eastAsia"/>
          <w:bCs/>
          <w:color w:val="000000"/>
          <w:sz w:val="24"/>
          <w:szCs w:val="24"/>
        </w:rPr>
        <w:t>检测；</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（六）可在同一根</w:t>
      </w:r>
      <w:proofErr w:type="gramStart"/>
      <w:r w:rsidRPr="00560A9F">
        <w:rPr>
          <w:rFonts w:ascii="宋体" w:eastAsia="宋体" w:hAnsi="宋体" w:hint="eastAsia"/>
          <w:color w:val="000000"/>
          <w:sz w:val="24"/>
          <w:szCs w:val="24"/>
        </w:rPr>
        <w:t>桩增加</w:t>
      </w:r>
      <w:proofErr w:type="gramEnd"/>
      <w:r w:rsidRPr="00560A9F">
        <w:rPr>
          <w:rFonts w:ascii="宋体" w:eastAsia="宋体" w:hAnsi="宋体" w:hint="eastAsia"/>
          <w:color w:val="000000"/>
          <w:sz w:val="24"/>
          <w:szCs w:val="24"/>
        </w:rPr>
        <w:t>钻孔验证</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 xml:space="preserve">检测结果； </w:t>
      </w:r>
    </w:p>
    <w:p w:rsidR="00553FF9" w:rsidRPr="00560A9F" w:rsidRDefault="00553FF9" w:rsidP="00553FF9">
      <w:pPr>
        <w:spacing w:line="480" w:lineRule="auto"/>
        <w:ind w:firstLineChars="200" w:firstLine="480"/>
        <w:rPr>
          <w:rFonts w:ascii="宋体" w:eastAsia="宋体" w:hAnsi="宋体"/>
          <w:bCs/>
          <w:color w:val="000000"/>
          <w:sz w:val="24"/>
          <w:szCs w:val="24"/>
        </w:rPr>
      </w:pPr>
      <w:r w:rsidRPr="00560A9F">
        <w:rPr>
          <w:rFonts w:ascii="宋体" w:eastAsia="宋体" w:hAnsi="宋体" w:hint="eastAsia"/>
          <w:color w:val="000000"/>
          <w:sz w:val="24"/>
          <w:szCs w:val="24"/>
        </w:rPr>
        <w:t>（七）可采用单桩竖向抗压静载试验</w:t>
      </w:r>
      <w:proofErr w:type="gramStart"/>
      <w:r w:rsidRPr="00560A9F">
        <w:rPr>
          <w:rFonts w:ascii="宋体" w:eastAsia="宋体" w:hAnsi="宋体" w:hint="eastAsia"/>
          <w:color w:val="000000"/>
          <w:sz w:val="24"/>
          <w:szCs w:val="24"/>
        </w:rPr>
        <w:t>验证高</w:t>
      </w:r>
      <w:proofErr w:type="gramEnd"/>
      <w:r w:rsidRPr="00560A9F">
        <w:rPr>
          <w:rFonts w:ascii="宋体" w:eastAsia="宋体" w:hAnsi="宋体" w:hint="eastAsia"/>
          <w:color w:val="000000"/>
          <w:sz w:val="24"/>
          <w:szCs w:val="24"/>
        </w:rPr>
        <w:t>应变法所测单桩承载力检测结果。</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三、扩大抽检</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当检测结果不满足原设计要求时，应进行扩大抽检。扩大抽检应采用原来的检测方法或准确度更高的检测方法。当因未埋设声测管而不能采用声波透射法扩大抽检时，应采用</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。扩大抽检的数量应符合下列规定：</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lastRenderedPageBreak/>
        <w:t>（一）当平板载荷试验、锚杆、单桩承载力检测或</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检测结果不满足设计要求时，应按不满足设计要求的数量加倍扩大抽检。</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（二）当采用低应变法抽检桩身质量所发现的Ⅲ、Ⅳ类桩之和大于抽检桩数的20%时，应按原抽检比例扩大抽检，当两次抽检的Ⅲ、Ⅳ类桩之和仍大于抽检桩数的20%时，</w:t>
      </w:r>
      <w:proofErr w:type="gramStart"/>
      <w:r w:rsidRPr="00560A9F">
        <w:rPr>
          <w:rFonts w:ascii="宋体" w:eastAsia="宋体" w:hAnsi="宋体" w:hint="eastAsia"/>
          <w:color w:val="000000"/>
          <w:sz w:val="24"/>
          <w:szCs w:val="24"/>
        </w:rPr>
        <w:t>该批桩应全数</w:t>
      </w:r>
      <w:proofErr w:type="gramEnd"/>
      <w:r w:rsidRPr="00560A9F">
        <w:rPr>
          <w:rFonts w:ascii="宋体" w:eastAsia="宋体" w:hAnsi="宋体" w:hint="eastAsia"/>
          <w:color w:val="000000"/>
          <w:sz w:val="24"/>
          <w:szCs w:val="24"/>
        </w:rPr>
        <w:t>检测。当Ⅲ、Ⅳ类桩之和不大于抽检桩数的20%时，应研究确定处理方案、扩大抽检的方法和数量，扩大抽检的数量不宜少于该次抽检发现的Ⅲ、Ⅳ类桩总数的2倍。</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三）当采用高应变法抽检桩身质量所发现的Ⅲ、Ⅳ类桩之和大于抽检桩数的20%时，应按原抽检比例扩大抽检。当Ⅲ、Ⅳ类桩之和不大于抽检桩数的20%时，应研究确定处理方案或扩大抽检的方法和数量，扩大抽检的数量不宜少于该次抽检发现的Ⅲ、Ⅳ类桩总数的2倍。</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（四）当采用声波透射法抽检桩身质量发现有Ⅲ、Ⅳ类桩时，应研究确定处理方案或扩大抽检的方法和数量，扩大抽检的数量不宜少于该次抽检发现的Ⅲ、Ⅳ类桩总数的2倍。</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（五）当标准贯入试验、静力触探试验、圆锥动力触探试验、十字板剪切试验等方法抽检不满足设计要求时，应按不满足设计要求的孔数的2倍扩大抽检，并进行适当数量的平板载荷试验。</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（六）加固处理后的桩</w:t>
      </w:r>
      <w:proofErr w:type="gramStart"/>
      <w:r w:rsidRPr="00560A9F">
        <w:rPr>
          <w:rFonts w:ascii="宋体" w:eastAsia="宋体" w:hAnsi="宋体" w:hint="eastAsia"/>
          <w:color w:val="000000"/>
          <w:sz w:val="24"/>
          <w:szCs w:val="24"/>
        </w:rPr>
        <w:t>宜全部</w:t>
      </w:r>
      <w:proofErr w:type="gramEnd"/>
      <w:r w:rsidRPr="00560A9F">
        <w:rPr>
          <w:rFonts w:ascii="宋体" w:eastAsia="宋体" w:hAnsi="宋体" w:hint="eastAsia"/>
          <w:color w:val="000000"/>
          <w:sz w:val="24"/>
          <w:szCs w:val="24"/>
        </w:rPr>
        <w:t>进行检测，对</w:t>
      </w:r>
      <w:proofErr w:type="gramStart"/>
      <w:r w:rsidRPr="00560A9F">
        <w:rPr>
          <w:rFonts w:ascii="宋体" w:eastAsia="宋体" w:hAnsi="宋体" w:hint="eastAsia"/>
          <w:color w:val="000000"/>
          <w:sz w:val="24"/>
          <w:szCs w:val="24"/>
        </w:rPr>
        <w:t>补桩应进行</w:t>
      </w:r>
      <w:proofErr w:type="gramEnd"/>
      <w:r w:rsidRPr="00560A9F">
        <w:rPr>
          <w:rFonts w:ascii="宋体" w:eastAsia="宋体" w:hAnsi="宋体" w:hint="eastAsia"/>
          <w:color w:val="000000"/>
          <w:sz w:val="24"/>
          <w:szCs w:val="24"/>
        </w:rPr>
        <w:t>抽检。检测方法应优先选用</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、静载试验或高应变法。</w:t>
      </w:r>
    </w:p>
    <w:p w:rsidR="00553FF9" w:rsidRPr="00560A9F" w:rsidRDefault="00553FF9" w:rsidP="00553FF9">
      <w:pPr>
        <w:spacing w:line="480" w:lineRule="auto"/>
        <w:ind w:firstLineChars="200" w:firstLine="480"/>
        <w:rPr>
          <w:rFonts w:ascii="宋体" w:eastAsia="宋体" w:hAnsi="宋体"/>
          <w:color w:val="000000"/>
          <w:sz w:val="24"/>
          <w:szCs w:val="24"/>
        </w:rPr>
      </w:pPr>
      <w:r w:rsidRPr="00560A9F">
        <w:rPr>
          <w:rFonts w:ascii="宋体" w:eastAsia="宋体" w:hAnsi="宋体" w:hint="eastAsia"/>
          <w:color w:val="000000"/>
          <w:sz w:val="24"/>
          <w:szCs w:val="24"/>
        </w:rPr>
        <w:t>附表：地基基础工程质量检测的项目、方法和数量表</w:t>
      </w:r>
    </w:p>
    <w:p w:rsidR="00553FF9" w:rsidRPr="00560A9F" w:rsidRDefault="00553FF9" w:rsidP="00553FF9">
      <w:pPr>
        <w:spacing w:line="480" w:lineRule="auto"/>
        <w:ind w:firstLineChars="200" w:firstLine="480"/>
        <w:rPr>
          <w:rFonts w:ascii="宋体" w:eastAsia="宋体" w:hAnsi="宋体"/>
          <w:color w:val="000000"/>
          <w:sz w:val="24"/>
          <w:szCs w:val="24"/>
        </w:rPr>
        <w:sectPr w:rsidR="00553FF9" w:rsidRPr="00560A9F" w:rsidSect="00CE0E21">
          <w:pgSz w:w="11906" w:h="16838" w:code="9"/>
          <w:pgMar w:top="1134" w:right="1418" w:bottom="1134" w:left="1418" w:header="851" w:footer="992" w:gutter="0"/>
          <w:pgNumType w:start="1"/>
          <w:cols w:space="425"/>
          <w:docGrid w:type="lines" w:linePitch="312"/>
        </w:sectPr>
      </w:pPr>
    </w:p>
    <w:p w:rsidR="00553FF9" w:rsidRPr="00560A9F" w:rsidRDefault="00553FF9" w:rsidP="00553FF9">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lastRenderedPageBreak/>
        <w:t>附表</w:t>
      </w:r>
    </w:p>
    <w:p w:rsidR="00553FF9" w:rsidRPr="00560A9F" w:rsidRDefault="00553FF9" w:rsidP="00553FF9">
      <w:pPr>
        <w:spacing w:line="480" w:lineRule="auto"/>
        <w:jc w:val="center"/>
        <w:rPr>
          <w:rFonts w:ascii="宋体" w:eastAsia="宋体" w:hAnsi="宋体"/>
          <w:color w:val="000000"/>
          <w:sz w:val="24"/>
          <w:szCs w:val="24"/>
        </w:rPr>
      </w:pPr>
      <w:r w:rsidRPr="00560A9F">
        <w:rPr>
          <w:rFonts w:ascii="宋体" w:eastAsia="宋体" w:hAnsi="宋体" w:hint="eastAsia"/>
          <w:color w:val="000000"/>
          <w:sz w:val="24"/>
          <w:szCs w:val="24"/>
        </w:rPr>
        <w:t>地基基础工程质量检测的项目、方法和数量表</w:t>
      </w:r>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7"/>
        <w:gridCol w:w="67"/>
        <w:gridCol w:w="1107"/>
        <w:gridCol w:w="1813"/>
        <w:gridCol w:w="435"/>
        <w:gridCol w:w="1888"/>
        <w:gridCol w:w="7698"/>
        <w:gridCol w:w="215"/>
      </w:tblGrid>
      <w:tr w:rsidR="00553FF9" w:rsidRPr="00560A9F" w:rsidTr="003E12C3">
        <w:trPr>
          <w:gridAfter w:val="1"/>
          <w:wAfter w:w="215" w:type="dxa"/>
          <w:trHeight w:val="262"/>
          <w:jc w:val="center"/>
        </w:trPr>
        <w:tc>
          <w:tcPr>
            <w:tcW w:w="1324" w:type="dxa"/>
            <w:gridSpan w:val="2"/>
            <w:vAlign w:val="center"/>
          </w:tcPr>
          <w:p w:rsidR="00553FF9" w:rsidRPr="00560A9F" w:rsidRDefault="00553FF9" w:rsidP="003E12C3">
            <w:pPr>
              <w:spacing w:line="480" w:lineRule="auto"/>
              <w:jc w:val="center"/>
              <w:rPr>
                <w:rFonts w:ascii="宋体" w:eastAsia="宋体" w:hAnsi="宋体"/>
                <w:color w:val="000000"/>
                <w:sz w:val="24"/>
                <w:szCs w:val="24"/>
              </w:rPr>
            </w:pPr>
            <w:r w:rsidRPr="00560A9F">
              <w:rPr>
                <w:rFonts w:ascii="宋体" w:eastAsia="宋体" w:hAnsi="宋体" w:hint="eastAsia"/>
                <w:color w:val="000000"/>
                <w:sz w:val="24"/>
                <w:szCs w:val="24"/>
              </w:rPr>
              <w:t>基础类型</w:t>
            </w:r>
          </w:p>
        </w:tc>
        <w:tc>
          <w:tcPr>
            <w:tcW w:w="1107" w:type="dxa"/>
            <w:vAlign w:val="center"/>
          </w:tcPr>
          <w:p w:rsidR="00553FF9" w:rsidRPr="00560A9F" w:rsidRDefault="00553FF9" w:rsidP="003E12C3">
            <w:pPr>
              <w:spacing w:line="480" w:lineRule="auto"/>
              <w:jc w:val="center"/>
              <w:rPr>
                <w:rFonts w:ascii="宋体" w:eastAsia="宋体" w:hAnsi="宋体"/>
                <w:color w:val="000000"/>
                <w:sz w:val="24"/>
                <w:szCs w:val="24"/>
              </w:rPr>
            </w:pPr>
            <w:r w:rsidRPr="00560A9F">
              <w:rPr>
                <w:rFonts w:ascii="宋体" w:eastAsia="宋体" w:hAnsi="宋体" w:hint="eastAsia"/>
                <w:color w:val="000000"/>
                <w:sz w:val="24"/>
                <w:szCs w:val="24"/>
              </w:rPr>
              <w:t>检测项目</w:t>
            </w:r>
          </w:p>
        </w:tc>
        <w:tc>
          <w:tcPr>
            <w:tcW w:w="2248" w:type="dxa"/>
            <w:gridSpan w:val="2"/>
            <w:vAlign w:val="center"/>
          </w:tcPr>
          <w:p w:rsidR="00553FF9" w:rsidRPr="00560A9F" w:rsidRDefault="00553FF9" w:rsidP="003E12C3">
            <w:pPr>
              <w:spacing w:line="480" w:lineRule="auto"/>
              <w:jc w:val="center"/>
              <w:rPr>
                <w:rFonts w:ascii="宋体" w:eastAsia="宋体" w:hAnsi="宋体"/>
                <w:color w:val="000000"/>
                <w:sz w:val="24"/>
                <w:szCs w:val="24"/>
              </w:rPr>
            </w:pPr>
            <w:r w:rsidRPr="00560A9F">
              <w:rPr>
                <w:rFonts w:ascii="宋体" w:eastAsia="宋体" w:hAnsi="宋体" w:hint="eastAsia"/>
                <w:color w:val="000000"/>
                <w:sz w:val="24"/>
                <w:szCs w:val="24"/>
              </w:rPr>
              <w:t>检测方法</w:t>
            </w:r>
          </w:p>
        </w:tc>
        <w:tc>
          <w:tcPr>
            <w:tcW w:w="9586" w:type="dxa"/>
            <w:gridSpan w:val="2"/>
            <w:vAlign w:val="center"/>
          </w:tcPr>
          <w:p w:rsidR="00553FF9" w:rsidRPr="00560A9F" w:rsidRDefault="00553FF9" w:rsidP="003E12C3">
            <w:pPr>
              <w:spacing w:line="480" w:lineRule="auto"/>
              <w:jc w:val="center"/>
              <w:rPr>
                <w:rFonts w:ascii="宋体" w:eastAsia="宋体" w:hAnsi="宋体"/>
                <w:color w:val="000000"/>
                <w:sz w:val="24"/>
                <w:szCs w:val="24"/>
              </w:rPr>
            </w:pPr>
            <w:r w:rsidRPr="00560A9F">
              <w:rPr>
                <w:rFonts w:ascii="宋体" w:eastAsia="宋体" w:hAnsi="宋体" w:hint="eastAsia"/>
                <w:color w:val="000000"/>
                <w:sz w:val="24"/>
                <w:szCs w:val="24"/>
              </w:rPr>
              <w:t>检测数量</w:t>
            </w:r>
          </w:p>
        </w:tc>
      </w:tr>
      <w:tr w:rsidR="00553FF9" w:rsidRPr="00560A9F" w:rsidTr="003E12C3">
        <w:trPr>
          <w:gridAfter w:val="1"/>
          <w:wAfter w:w="215" w:type="dxa"/>
          <w:cantSplit/>
          <w:trHeight w:val="262"/>
          <w:jc w:val="center"/>
        </w:trPr>
        <w:tc>
          <w:tcPr>
            <w:tcW w:w="1324" w:type="dxa"/>
            <w:gridSpan w:val="2"/>
            <w:vMerge w:val="restart"/>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预制桩</w:t>
            </w:r>
          </w:p>
        </w:tc>
        <w:tc>
          <w:tcPr>
            <w:tcW w:w="1107" w:type="dxa"/>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桩身质量</w:t>
            </w:r>
          </w:p>
        </w:tc>
        <w:tc>
          <w:tcPr>
            <w:tcW w:w="2248"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低应变法或高应变法</w:t>
            </w:r>
          </w:p>
        </w:tc>
        <w:tc>
          <w:tcPr>
            <w:tcW w:w="9586"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抽检数量不少于总桩数的20%，且</w:t>
            </w:r>
            <w:r w:rsidRPr="00560A9F">
              <w:rPr>
                <w:rFonts w:ascii="宋体" w:eastAsia="宋体" w:hAnsi="宋体" w:hint="eastAsia"/>
                <w:bCs/>
                <w:color w:val="000000"/>
                <w:sz w:val="24"/>
                <w:szCs w:val="24"/>
              </w:rPr>
              <w:t>每个柱下承台不得少于1根。</w:t>
            </w:r>
          </w:p>
        </w:tc>
      </w:tr>
      <w:tr w:rsidR="00553FF9" w:rsidRPr="00560A9F" w:rsidTr="003E12C3">
        <w:trPr>
          <w:gridAfter w:val="1"/>
          <w:wAfter w:w="215" w:type="dxa"/>
          <w:cantSplit/>
          <w:trHeight w:val="566"/>
          <w:jc w:val="center"/>
        </w:trPr>
        <w:tc>
          <w:tcPr>
            <w:tcW w:w="1324"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c>
          <w:tcPr>
            <w:tcW w:w="1107" w:type="dxa"/>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承载力</w:t>
            </w:r>
          </w:p>
        </w:tc>
        <w:tc>
          <w:tcPr>
            <w:tcW w:w="2248"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静载试验或</w:t>
            </w:r>
          </w:p>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高应变法</w:t>
            </w:r>
          </w:p>
        </w:tc>
        <w:tc>
          <w:tcPr>
            <w:tcW w:w="9586" w:type="dxa"/>
            <w:gridSpan w:val="2"/>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1、有下列情况之一的应当采用静载荷试验：（1）地基设计等级为甲级；（2）地质条件复杂、桩施工质量可靠性低；（3）属于本地区采用的新桩型或新工艺；（4）</w:t>
            </w:r>
            <w:proofErr w:type="gramStart"/>
            <w:r w:rsidRPr="00560A9F">
              <w:rPr>
                <w:rFonts w:ascii="宋体" w:eastAsia="宋体" w:hAnsi="宋体" w:hint="eastAsia"/>
                <w:color w:val="000000"/>
                <w:sz w:val="24"/>
                <w:szCs w:val="24"/>
              </w:rPr>
              <w:t>挤土群桩</w:t>
            </w:r>
            <w:proofErr w:type="gramEnd"/>
            <w:r w:rsidRPr="00560A9F">
              <w:rPr>
                <w:rFonts w:ascii="宋体" w:eastAsia="宋体" w:hAnsi="宋体" w:hint="eastAsia"/>
                <w:color w:val="000000"/>
                <w:sz w:val="24"/>
                <w:szCs w:val="24"/>
              </w:rPr>
              <w:t>施工</w:t>
            </w:r>
            <w:proofErr w:type="gramStart"/>
            <w:r w:rsidRPr="00560A9F">
              <w:rPr>
                <w:rFonts w:ascii="宋体" w:eastAsia="宋体" w:hAnsi="宋体" w:hint="eastAsia"/>
                <w:color w:val="000000"/>
                <w:sz w:val="24"/>
                <w:szCs w:val="24"/>
              </w:rPr>
              <w:t>产生挤土效应</w:t>
            </w:r>
            <w:proofErr w:type="gramEnd"/>
            <w:r w:rsidRPr="00560A9F">
              <w:rPr>
                <w:rFonts w:ascii="宋体" w:eastAsia="宋体" w:hAnsi="宋体" w:hint="eastAsia"/>
                <w:color w:val="000000"/>
                <w:sz w:val="24"/>
                <w:szCs w:val="24"/>
              </w:rPr>
              <w:t>；抽检数量不少于单位工程桩总数的1%，且不少于3根；当单位工程桩总数在50根以内时，不少于2根。</w:t>
            </w:r>
          </w:p>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bCs/>
                <w:color w:val="000000"/>
                <w:sz w:val="24"/>
                <w:szCs w:val="24"/>
              </w:rPr>
              <w:t>2、除1所列情形之外，当采用高应变法抽检时，抽检数量不低于8%且不少于10根。</w:t>
            </w:r>
          </w:p>
        </w:tc>
      </w:tr>
      <w:tr w:rsidR="00553FF9" w:rsidRPr="00560A9F" w:rsidTr="003E12C3">
        <w:trPr>
          <w:gridAfter w:val="1"/>
          <w:wAfter w:w="215" w:type="dxa"/>
          <w:cantSplit/>
          <w:trHeight w:val="342"/>
          <w:jc w:val="center"/>
        </w:trPr>
        <w:tc>
          <w:tcPr>
            <w:tcW w:w="1324" w:type="dxa"/>
            <w:gridSpan w:val="2"/>
            <w:vMerge w:val="restart"/>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lastRenderedPageBreak/>
              <w:t>小直径混凝土灌注桩</w:t>
            </w:r>
          </w:p>
        </w:tc>
        <w:tc>
          <w:tcPr>
            <w:tcW w:w="1107" w:type="dxa"/>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桩身质量</w:t>
            </w:r>
          </w:p>
        </w:tc>
        <w:tc>
          <w:tcPr>
            <w:tcW w:w="2248"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低应变法或高应变法</w:t>
            </w:r>
          </w:p>
        </w:tc>
        <w:tc>
          <w:tcPr>
            <w:tcW w:w="9586" w:type="dxa"/>
            <w:gridSpan w:val="2"/>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对于地基基础设计等级为甲级或地质条件复杂、成桩质量可靠性较低的灌注桩，抽检数量不少于桩总数的</w:t>
            </w:r>
            <w:r w:rsidRPr="00560A9F">
              <w:rPr>
                <w:rFonts w:ascii="宋体" w:eastAsia="宋体" w:hAnsi="宋体" w:hint="eastAsia"/>
                <w:bCs/>
                <w:color w:val="000000"/>
                <w:sz w:val="24"/>
                <w:szCs w:val="24"/>
              </w:rPr>
              <w:t>30%</w:t>
            </w:r>
            <w:r w:rsidRPr="00560A9F">
              <w:rPr>
                <w:rFonts w:ascii="宋体" w:eastAsia="宋体" w:hAnsi="宋体" w:hint="eastAsia"/>
                <w:color w:val="000000"/>
                <w:sz w:val="24"/>
                <w:szCs w:val="24"/>
              </w:rPr>
              <w:t>，且不得少于</w:t>
            </w:r>
            <w:r w:rsidRPr="00560A9F">
              <w:rPr>
                <w:rFonts w:ascii="宋体" w:eastAsia="宋体" w:hAnsi="宋体" w:hint="eastAsia"/>
                <w:bCs/>
                <w:color w:val="000000"/>
                <w:sz w:val="24"/>
                <w:szCs w:val="24"/>
              </w:rPr>
              <w:t>20</w:t>
            </w:r>
            <w:r w:rsidRPr="00560A9F">
              <w:rPr>
                <w:rFonts w:ascii="宋体" w:eastAsia="宋体" w:hAnsi="宋体" w:hint="eastAsia"/>
                <w:color w:val="000000"/>
                <w:sz w:val="24"/>
                <w:szCs w:val="24"/>
              </w:rPr>
              <w:t>根；其它桩基工程，抽检桩数不少于总桩数的</w:t>
            </w:r>
            <w:r w:rsidRPr="00560A9F">
              <w:rPr>
                <w:rFonts w:ascii="宋体" w:eastAsia="宋体" w:hAnsi="宋体" w:hint="eastAsia"/>
                <w:bCs/>
                <w:color w:val="000000"/>
                <w:sz w:val="24"/>
                <w:szCs w:val="24"/>
              </w:rPr>
              <w:t>20%</w:t>
            </w:r>
            <w:r w:rsidRPr="00560A9F">
              <w:rPr>
                <w:rFonts w:ascii="宋体" w:eastAsia="宋体" w:hAnsi="宋体" w:hint="eastAsia"/>
                <w:color w:val="000000"/>
                <w:sz w:val="24"/>
                <w:szCs w:val="24"/>
              </w:rPr>
              <w:t>，且不得少于</w:t>
            </w:r>
            <w:r w:rsidRPr="00560A9F">
              <w:rPr>
                <w:rFonts w:ascii="宋体" w:eastAsia="宋体" w:hAnsi="宋体" w:hint="eastAsia"/>
                <w:bCs/>
                <w:color w:val="000000"/>
                <w:sz w:val="24"/>
                <w:szCs w:val="24"/>
              </w:rPr>
              <w:t>10</w:t>
            </w:r>
            <w:r w:rsidRPr="00560A9F">
              <w:rPr>
                <w:rFonts w:ascii="宋体" w:eastAsia="宋体" w:hAnsi="宋体" w:hint="eastAsia"/>
                <w:color w:val="000000"/>
                <w:sz w:val="24"/>
                <w:szCs w:val="24"/>
              </w:rPr>
              <w:t>根。除上述规定外，</w:t>
            </w:r>
            <w:r w:rsidRPr="00560A9F">
              <w:rPr>
                <w:rFonts w:ascii="宋体" w:eastAsia="宋体" w:hAnsi="宋体" w:hint="eastAsia"/>
                <w:bCs/>
                <w:color w:val="000000"/>
                <w:sz w:val="24"/>
                <w:szCs w:val="24"/>
              </w:rPr>
              <w:t>每个柱下承台还不得少于1根。</w:t>
            </w:r>
          </w:p>
        </w:tc>
      </w:tr>
      <w:tr w:rsidR="00553FF9" w:rsidRPr="00560A9F" w:rsidTr="003E12C3">
        <w:trPr>
          <w:gridAfter w:val="1"/>
          <w:wAfter w:w="215" w:type="dxa"/>
          <w:cantSplit/>
          <w:trHeight w:val="618"/>
          <w:jc w:val="center"/>
        </w:trPr>
        <w:tc>
          <w:tcPr>
            <w:tcW w:w="1324"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c>
          <w:tcPr>
            <w:tcW w:w="1107" w:type="dxa"/>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承载力</w:t>
            </w:r>
          </w:p>
        </w:tc>
        <w:tc>
          <w:tcPr>
            <w:tcW w:w="2248"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静载试验或</w:t>
            </w:r>
          </w:p>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高应变法</w:t>
            </w:r>
          </w:p>
        </w:tc>
        <w:tc>
          <w:tcPr>
            <w:tcW w:w="9586" w:type="dxa"/>
            <w:gridSpan w:val="2"/>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1、有下列情况之一的应当采用静载荷试验：（1）地基设计等级为甲级；（2）地质条件复杂、桩施工质量可靠性低；（3）属于本地区采用的新桩型或新工艺；（4）</w:t>
            </w:r>
            <w:proofErr w:type="gramStart"/>
            <w:r w:rsidRPr="00560A9F">
              <w:rPr>
                <w:rFonts w:ascii="宋体" w:eastAsia="宋体" w:hAnsi="宋体" w:hint="eastAsia"/>
                <w:color w:val="000000"/>
                <w:sz w:val="24"/>
                <w:szCs w:val="24"/>
              </w:rPr>
              <w:t>挤土群桩</w:t>
            </w:r>
            <w:proofErr w:type="gramEnd"/>
            <w:r w:rsidRPr="00560A9F">
              <w:rPr>
                <w:rFonts w:ascii="宋体" w:eastAsia="宋体" w:hAnsi="宋体" w:hint="eastAsia"/>
                <w:color w:val="000000"/>
                <w:sz w:val="24"/>
                <w:szCs w:val="24"/>
              </w:rPr>
              <w:t>施工</w:t>
            </w:r>
            <w:proofErr w:type="gramStart"/>
            <w:r w:rsidRPr="00560A9F">
              <w:rPr>
                <w:rFonts w:ascii="宋体" w:eastAsia="宋体" w:hAnsi="宋体" w:hint="eastAsia"/>
                <w:color w:val="000000"/>
                <w:sz w:val="24"/>
                <w:szCs w:val="24"/>
              </w:rPr>
              <w:t>产生挤土效应</w:t>
            </w:r>
            <w:proofErr w:type="gramEnd"/>
            <w:r w:rsidRPr="00560A9F">
              <w:rPr>
                <w:rFonts w:ascii="宋体" w:eastAsia="宋体" w:hAnsi="宋体" w:hint="eastAsia"/>
                <w:color w:val="000000"/>
                <w:sz w:val="24"/>
                <w:szCs w:val="24"/>
              </w:rPr>
              <w:t>；抽检数量不少于单位工程桩总数的1%，且不少于3根；当单位工程桩总数在50根以内时，不少于2根。</w:t>
            </w:r>
          </w:p>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bCs/>
                <w:color w:val="000000"/>
                <w:sz w:val="24"/>
                <w:szCs w:val="24"/>
              </w:rPr>
              <w:t>2、除1所列情形之外，当采用高应变法抽检时，抽检数量不少于</w:t>
            </w:r>
            <w:r w:rsidRPr="00560A9F">
              <w:rPr>
                <w:rFonts w:ascii="宋体" w:eastAsia="宋体" w:hAnsi="宋体" w:hint="eastAsia"/>
                <w:color w:val="000000"/>
                <w:sz w:val="24"/>
                <w:szCs w:val="24"/>
              </w:rPr>
              <w:t>单位工程桩总数的</w:t>
            </w:r>
            <w:r w:rsidRPr="00560A9F">
              <w:rPr>
                <w:rFonts w:ascii="宋体" w:eastAsia="宋体" w:hAnsi="宋体" w:hint="eastAsia"/>
                <w:bCs/>
                <w:color w:val="000000"/>
                <w:sz w:val="24"/>
                <w:szCs w:val="24"/>
              </w:rPr>
              <w:t>5%且不少于5根。</w:t>
            </w:r>
          </w:p>
        </w:tc>
      </w:tr>
      <w:tr w:rsidR="00553FF9" w:rsidRPr="00560A9F" w:rsidTr="003E12C3">
        <w:trPr>
          <w:gridAfter w:val="1"/>
          <w:wAfter w:w="215" w:type="dxa"/>
          <w:cantSplit/>
          <w:trHeight w:val="510"/>
          <w:jc w:val="center"/>
        </w:trPr>
        <w:tc>
          <w:tcPr>
            <w:tcW w:w="1324" w:type="dxa"/>
            <w:gridSpan w:val="2"/>
            <w:vMerge w:val="restart"/>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lastRenderedPageBreak/>
              <w:t>大直径(桩径≥</w:t>
            </w:r>
            <w:smartTag w:uri="urn:schemas-microsoft-com:office:smarttags" w:element="chmetcnv">
              <w:smartTagPr>
                <w:attr w:name="UnitName" w:val="mm"/>
                <w:attr w:name="SourceValue" w:val="800"/>
                <w:attr w:name="HasSpace" w:val="False"/>
                <w:attr w:name="Negative" w:val="False"/>
                <w:attr w:name="NumberType" w:val="1"/>
                <w:attr w:name="TCSC" w:val="0"/>
              </w:smartTagPr>
              <w:r w:rsidRPr="00560A9F">
                <w:rPr>
                  <w:rFonts w:ascii="宋体" w:eastAsia="宋体" w:hAnsi="宋体" w:hint="eastAsia"/>
                  <w:color w:val="000000"/>
                  <w:sz w:val="24"/>
                  <w:szCs w:val="24"/>
                </w:rPr>
                <w:t>800mm</w:t>
              </w:r>
            </w:smartTag>
            <w:r w:rsidRPr="00560A9F">
              <w:rPr>
                <w:rFonts w:ascii="宋体" w:eastAsia="宋体" w:hAnsi="宋体" w:hint="eastAsia"/>
                <w:color w:val="000000"/>
                <w:sz w:val="24"/>
                <w:szCs w:val="24"/>
              </w:rPr>
              <w:t>)混凝土灌注桩</w:t>
            </w:r>
          </w:p>
        </w:tc>
        <w:tc>
          <w:tcPr>
            <w:tcW w:w="1107" w:type="dxa"/>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桩身质量</w:t>
            </w:r>
          </w:p>
        </w:tc>
        <w:tc>
          <w:tcPr>
            <w:tcW w:w="2248"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低应变法、高应变法、声波透射或</w:t>
            </w:r>
            <w:proofErr w:type="gramStart"/>
            <w:r w:rsidRPr="00560A9F">
              <w:rPr>
                <w:rFonts w:ascii="宋体" w:eastAsia="宋体" w:hAnsi="宋体" w:hint="eastAsia"/>
                <w:color w:val="000000"/>
                <w:sz w:val="24"/>
                <w:szCs w:val="24"/>
              </w:rPr>
              <w:t>钻芯法</w:t>
            </w:r>
            <w:proofErr w:type="gramEnd"/>
          </w:p>
        </w:tc>
        <w:tc>
          <w:tcPr>
            <w:tcW w:w="9586" w:type="dxa"/>
            <w:gridSpan w:val="2"/>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1、对于桩径≥</w:t>
            </w:r>
            <w:smartTag w:uri="urn:schemas-microsoft-com:office:smarttags" w:element="chmetcnv">
              <w:smartTagPr>
                <w:attr w:name="UnitName" w:val="mm"/>
                <w:attr w:name="SourceValue" w:val="1500"/>
                <w:attr w:name="HasSpace" w:val="False"/>
                <w:attr w:name="Negative" w:val="False"/>
                <w:attr w:name="NumberType" w:val="1"/>
                <w:attr w:name="TCSC" w:val="0"/>
              </w:smartTagPr>
              <w:r w:rsidRPr="00560A9F">
                <w:rPr>
                  <w:rFonts w:ascii="宋体" w:eastAsia="宋体" w:hAnsi="宋体" w:hint="eastAsia"/>
                  <w:color w:val="000000"/>
                  <w:sz w:val="24"/>
                  <w:szCs w:val="24"/>
                </w:rPr>
                <w:t>1500mm</w:t>
              </w:r>
            </w:smartTag>
            <w:r w:rsidRPr="00560A9F">
              <w:rPr>
                <w:rFonts w:ascii="宋体" w:eastAsia="宋体" w:hAnsi="宋体" w:hint="eastAsia"/>
                <w:color w:val="000000"/>
                <w:sz w:val="24"/>
                <w:szCs w:val="24"/>
              </w:rPr>
              <w:t>的柱下桩，每个承台下的</w:t>
            </w:r>
            <w:proofErr w:type="gramStart"/>
            <w:r w:rsidRPr="00560A9F">
              <w:rPr>
                <w:rFonts w:ascii="宋体" w:eastAsia="宋体" w:hAnsi="宋体" w:hint="eastAsia"/>
                <w:color w:val="000000"/>
                <w:sz w:val="24"/>
                <w:szCs w:val="24"/>
              </w:rPr>
              <w:t>桩应采用钻芯法</w:t>
            </w:r>
            <w:proofErr w:type="gramEnd"/>
            <w:r w:rsidRPr="00560A9F">
              <w:rPr>
                <w:rFonts w:ascii="宋体" w:eastAsia="宋体" w:hAnsi="宋体" w:hint="eastAsia"/>
                <w:color w:val="000000"/>
                <w:sz w:val="24"/>
                <w:szCs w:val="24"/>
              </w:rPr>
              <w:t>或声波透射法抽检，抽检数量不少于该承台下桩总数的30%且不</w:t>
            </w:r>
            <w:r w:rsidRPr="00560A9F">
              <w:rPr>
                <w:rFonts w:ascii="宋体" w:eastAsia="宋体" w:hAnsi="宋体" w:hint="eastAsia"/>
                <w:bCs/>
                <w:color w:val="000000"/>
                <w:sz w:val="24"/>
                <w:szCs w:val="24"/>
              </w:rPr>
              <w:t>少于1根；其中，</w:t>
            </w:r>
            <w:proofErr w:type="gramStart"/>
            <w:r w:rsidRPr="00560A9F">
              <w:rPr>
                <w:rFonts w:ascii="宋体" w:eastAsia="宋体" w:hAnsi="宋体" w:hint="eastAsia"/>
                <w:bCs/>
                <w:color w:val="000000"/>
                <w:sz w:val="24"/>
                <w:szCs w:val="24"/>
              </w:rPr>
              <w:t>钻芯法</w:t>
            </w:r>
            <w:proofErr w:type="gramEnd"/>
            <w:r w:rsidRPr="00560A9F">
              <w:rPr>
                <w:rFonts w:ascii="宋体" w:eastAsia="宋体" w:hAnsi="宋体" w:hint="eastAsia"/>
                <w:bCs/>
                <w:color w:val="000000"/>
                <w:sz w:val="24"/>
                <w:szCs w:val="24"/>
              </w:rPr>
              <w:t>抽检的数量不少于</w:t>
            </w:r>
            <w:r w:rsidRPr="00560A9F">
              <w:rPr>
                <w:rFonts w:ascii="宋体" w:eastAsia="宋体" w:hAnsi="宋体" w:hint="eastAsia"/>
                <w:color w:val="000000"/>
                <w:sz w:val="24"/>
                <w:szCs w:val="24"/>
              </w:rPr>
              <w:t>桩总数的5%（复杂岩溶区域宜适当增加）；</w:t>
            </w:r>
          </w:p>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2、对于桩径＜</w:t>
            </w:r>
            <w:smartTag w:uri="urn:schemas-microsoft-com:office:smarttags" w:element="chmetcnv">
              <w:smartTagPr>
                <w:attr w:name="UnitName" w:val="mm"/>
                <w:attr w:name="SourceValue" w:val="1500"/>
                <w:attr w:name="HasSpace" w:val="False"/>
                <w:attr w:name="Negative" w:val="False"/>
                <w:attr w:name="NumberType" w:val="1"/>
                <w:attr w:name="TCSC" w:val="0"/>
              </w:smartTagPr>
              <w:r w:rsidRPr="00560A9F">
                <w:rPr>
                  <w:rFonts w:ascii="宋体" w:eastAsia="宋体" w:hAnsi="宋体" w:hint="eastAsia"/>
                  <w:color w:val="000000"/>
                  <w:sz w:val="24"/>
                  <w:szCs w:val="24"/>
                </w:rPr>
                <w:t>1500mm</w:t>
              </w:r>
            </w:smartTag>
            <w:r w:rsidRPr="00560A9F">
              <w:rPr>
                <w:rFonts w:ascii="宋体" w:eastAsia="宋体" w:hAnsi="宋体" w:hint="eastAsia"/>
                <w:color w:val="000000"/>
                <w:sz w:val="24"/>
                <w:szCs w:val="24"/>
              </w:rPr>
              <w:t>的柱下桩、</w:t>
            </w:r>
            <w:proofErr w:type="gramStart"/>
            <w:r w:rsidRPr="00560A9F">
              <w:rPr>
                <w:rFonts w:ascii="宋体" w:eastAsia="宋体" w:hAnsi="宋体" w:hint="eastAsia"/>
                <w:color w:val="000000"/>
                <w:sz w:val="24"/>
                <w:szCs w:val="24"/>
              </w:rPr>
              <w:t>非柱下</w:t>
            </w:r>
            <w:proofErr w:type="gramEnd"/>
            <w:r w:rsidRPr="00560A9F">
              <w:rPr>
                <w:rFonts w:ascii="宋体" w:eastAsia="宋体" w:hAnsi="宋体" w:hint="eastAsia"/>
                <w:color w:val="000000"/>
                <w:sz w:val="24"/>
                <w:szCs w:val="24"/>
              </w:rPr>
              <w:t>桩，应采用</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或声波透射法抽检，抽检数量不少于相应桩总数的30%且不少于20根；其中，</w:t>
            </w:r>
            <w:proofErr w:type="gramStart"/>
            <w:r w:rsidRPr="00560A9F">
              <w:rPr>
                <w:rFonts w:ascii="宋体" w:eastAsia="宋体" w:hAnsi="宋体" w:hint="eastAsia"/>
                <w:bCs/>
                <w:color w:val="000000"/>
                <w:sz w:val="24"/>
                <w:szCs w:val="24"/>
              </w:rPr>
              <w:t>钻芯法</w:t>
            </w:r>
            <w:proofErr w:type="gramEnd"/>
            <w:r w:rsidRPr="00560A9F">
              <w:rPr>
                <w:rFonts w:ascii="宋体" w:eastAsia="宋体" w:hAnsi="宋体" w:hint="eastAsia"/>
                <w:bCs/>
                <w:color w:val="000000"/>
                <w:sz w:val="24"/>
                <w:szCs w:val="24"/>
              </w:rPr>
              <w:t>抽检的数量不少于</w:t>
            </w:r>
            <w:r w:rsidRPr="00560A9F">
              <w:rPr>
                <w:rFonts w:ascii="宋体" w:eastAsia="宋体" w:hAnsi="宋体" w:hint="eastAsia"/>
                <w:color w:val="000000"/>
                <w:sz w:val="24"/>
                <w:szCs w:val="24"/>
              </w:rPr>
              <w:t>桩总数的5%；</w:t>
            </w:r>
          </w:p>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3、</w:t>
            </w:r>
            <w:r w:rsidRPr="00560A9F">
              <w:rPr>
                <w:rFonts w:ascii="宋体" w:eastAsia="宋体" w:hAnsi="宋体" w:hint="eastAsia"/>
                <w:bCs/>
                <w:color w:val="000000"/>
                <w:sz w:val="24"/>
                <w:szCs w:val="24"/>
              </w:rPr>
              <w:t>对未</w:t>
            </w:r>
            <w:r w:rsidRPr="00560A9F">
              <w:rPr>
                <w:rFonts w:ascii="宋体" w:eastAsia="宋体" w:hAnsi="宋体" w:hint="eastAsia"/>
                <w:color w:val="000000"/>
                <w:sz w:val="24"/>
                <w:szCs w:val="24"/>
              </w:rPr>
              <w:t>抽检</w:t>
            </w:r>
            <w:r w:rsidRPr="00560A9F">
              <w:rPr>
                <w:rFonts w:ascii="宋体" w:eastAsia="宋体" w:hAnsi="宋体" w:hint="eastAsia"/>
                <w:bCs/>
                <w:color w:val="000000"/>
                <w:sz w:val="24"/>
                <w:szCs w:val="24"/>
              </w:rPr>
              <w:t>到的其余桩，宜采用低应变法或高应变法检测。</w:t>
            </w:r>
          </w:p>
        </w:tc>
      </w:tr>
      <w:tr w:rsidR="00553FF9" w:rsidRPr="00560A9F" w:rsidTr="003E12C3">
        <w:trPr>
          <w:gridAfter w:val="1"/>
          <w:wAfter w:w="215" w:type="dxa"/>
          <w:cantSplit/>
          <w:trHeight w:val="625"/>
          <w:jc w:val="center"/>
        </w:trPr>
        <w:tc>
          <w:tcPr>
            <w:tcW w:w="1324"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c>
          <w:tcPr>
            <w:tcW w:w="1107" w:type="dxa"/>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承载力</w:t>
            </w:r>
          </w:p>
        </w:tc>
        <w:tc>
          <w:tcPr>
            <w:tcW w:w="2248"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静载试验、高应变法或</w:t>
            </w:r>
            <w:proofErr w:type="gramStart"/>
            <w:r w:rsidRPr="00560A9F">
              <w:rPr>
                <w:rFonts w:ascii="宋体" w:eastAsia="宋体" w:hAnsi="宋体" w:hint="eastAsia"/>
                <w:color w:val="000000"/>
                <w:sz w:val="24"/>
                <w:szCs w:val="24"/>
              </w:rPr>
              <w:t>钻芯法</w:t>
            </w:r>
            <w:proofErr w:type="gramEnd"/>
          </w:p>
        </w:tc>
        <w:tc>
          <w:tcPr>
            <w:tcW w:w="9586" w:type="dxa"/>
            <w:gridSpan w:val="2"/>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1、采用静载试验或高应变法，按本表小直径混凝土灌注承载力检测数量桩执行。</w:t>
            </w:r>
          </w:p>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2、当确因试验设备或现场条件等限制，难以采用静载试验、高应变法抽测时，对</w:t>
            </w:r>
            <w:proofErr w:type="gramStart"/>
            <w:r w:rsidRPr="00560A9F">
              <w:rPr>
                <w:rFonts w:ascii="宋体" w:eastAsia="宋体" w:hAnsi="宋体" w:hint="eastAsia"/>
                <w:color w:val="000000"/>
                <w:sz w:val="24"/>
                <w:szCs w:val="24"/>
              </w:rPr>
              <w:t>端承型</w:t>
            </w:r>
            <w:proofErr w:type="gramEnd"/>
            <w:r w:rsidRPr="00560A9F">
              <w:rPr>
                <w:rFonts w:ascii="宋体" w:eastAsia="宋体" w:hAnsi="宋体" w:hint="eastAsia"/>
                <w:color w:val="000000"/>
                <w:sz w:val="24"/>
                <w:szCs w:val="24"/>
              </w:rPr>
              <w:t>嵌岩桩（</w:t>
            </w:r>
            <w:proofErr w:type="gramStart"/>
            <w:r w:rsidRPr="00560A9F">
              <w:rPr>
                <w:rFonts w:ascii="宋体" w:eastAsia="宋体" w:hAnsi="宋体" w:hint="eastAsia"/>
                <w:color w:val="000000"/>
                <w:sz w:val="24"/>
                <w:szCs w:val="24"/>
              </w:rPr>
              <w:t>含嵌岩</w:t>
            </w:r>
            <w:proofErr w:type="gramEnd"/>
            <w:r w:rsidRPr="00560A9F">
              <w:rPr>
                <w:rFonts w:ascii="宋体" w:eastAsia="宋体" w:hAnsi="宋体" w:hint="eastAsia"/>
                <w:color w:val="000000"/>
                <w:sz w:val="24"/>
                <w:szCs w:val="24"/>
              </w:rPr>
              <w:t>型</w:t>
            </w:r>
            <w:proofErr w:type="gramStart"/>
            <w:r w:rsidRPr="00560A9F">
              <w:rPr>
                <w:rFonts w:ascii="宋体" w:eastAsia="宋体" w:hAnsi="宋体" w:hint="eastAsia"/>
                <w:color w:val="000000"/>
                <w:sz w:val="24"/>
                <w:szCs w:val="24"/>
              </w:rPr>
              <w:t>摩擦端承桩</w:t>
            </w:r>
            <w:proofErr w:type="gramEnd"/>
            <w:r w:rsidRPr="00560A9F">
              <w:rPr>
                <w:rFonts w:ascii="宋体" w:eastAsia="宋体" w:hAnsi="宋体" w:hint="eastAsia"/>
                <w:color w:val="000000"/>
                <w:sz w:val="24"/>
                <w:szCs w:val="24"/>
              </w:rPr>
              <w:t>、</w:t>
            </w:r>
            <w:proofErr w:type="gramStart"/>
            <w:r w:rsidRPr="00560A9F">
              <w:rPr>
                <w:rFonts w:ascii="宋体" w:eastAsia="宋体" w:hAnsi="宋体" w:hint="eastAsia"/>
                <w:color w:val="000000"/>
                <w:sz w:val="24"/>
                <w:szCs w:val="24"/>
              </w:rPr>
              <w:t>端承桩</w:t>
            </w:r>
            <w:proofErr w:type="gramEnd"/>
            <w:r w:rsidRPr="00560A9F">
              <w:rPr>
                <w:rFonts w:ascii="宋体" w:eastAsia="宋体" w:hAnsi="宋体" w:hint="eastAsia"/>
                <w:color w:val="000000"/>
                <w:sz w:val="24"/>
                <w:szCs w:val="24"/>
              </w:rPr>
              <w:t>），可采用</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对不同直径桩的成桩质量、桩底沉渣、桩端持力层进行鉴别，抽检数量不少于总桩数的10%且不少于10根。</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抽检的数量可计入桩身质量抽检数量。</w:t>
            </w:r>
          </w:p>
        </w:tc>
      </w:tr>
      <w:tr w:rsidR="00553FF9" w:rsidRPr="00560A9F" w:rsidTr="003E12C3">
        <w:trPr>
          <w:gridAfter w:val="1"/>
          <w:wAfter w:w="215" w:type="dxa"/>
          <w:cantSplit/>
          <w:trHeight w:val="145"/>
          <w:jc w:val="center"/>
        </w:trPr>
        <w:tc>
          <w:tcPr>
            <w:tcW w:w="1324" w:type="dxa"/>
            <w:gridSpan w:val="2"/>
            <w:vMerge w:val="restart"/>
            <w:vAlign w:val="center"/>
          </w:tcPr>
          <w:p w:rsidR="00553FF9" w:rsidRPr="00560A9F" w:rsidRDefault="00553FF9" w:rsidP="003E12C3">
            <w:pPr>
              <w:spacing w:line="480" w:lineRule="auto"/>
              <w:rPr>
                <w:rFonts w:ascii="宋体" w:eastAsia="宋体" w:hAnsi="宋体"/>
                <w:color w:val="000000"/>
                <w:spacing w:val="-20"/>
                <w:sz w:val="24"/>
                <w:szCs w:val="24"/>
              </w:rPr>
            </w:pPr>
            <w:r w:rsidRPr="00560A9F">
              <w:rPr>
                <w:rFonts w:ascii="宋体" w:eastAsia="宋体" w:hAnsi="宋体" w:hint="eastAsia"/>
                <w:color w:val="000000"/>
                <w:spacing w:val="-20"/>
                <w:sz w:val="24"/>
                <w:szCs w:val="24"/>
              </w:rPr>
              <w:lastRenderedPageBreak/>
              <w:t>承受竖向</w:t>
            </w:r>
            <w:proofErr w:type="gramStart"/>
            <w:r w:rsidRPr="00560A9F">
              <w:rPr>
                <w:rFonts w:ascii="宋体" w:eastAsia="宋体" w:hAnsi="宋体" w:hint="eastAsia"/>
                <w:color w:val="000000"/>
                <w:spacing w:val="-20"/>
                <w:sz w:val="24"/>
                <w:szCs w:val="24"/>
              </w:rPr>
              <w:t>抗拔力或</w:t>
            </w:r>
            <w:proofErr w:type="gramEnd"/>
            <w:r w:rsidRPr="00560A9F">
              <w:rPr>
                <w:rFonts w:ascii="宋体" w:eastAsia="宋体" w:hAnsi="宋体" w:hint="eastAsia"/>
                <w:color w:val="000000"/>
                <w:spacing w:val="-20"/>
                <w:sz w:val="24"/>
                <w:szCs w:val="24"/>
              </w:rPr>
              <w:t>水平力的桩</w:t>
            </w:r>
          </w:p>
        </w:tc>
        <w:tc>
          <w:tcPr>
            <w:tcW w:w="1107" w:type="dxa"/>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桩身质量</w:t>
            </w:r>
          </w:p>
        </w:tc>
        <w:tc>
          <w:tcPr>
            <w:tcW w:w="2248"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低应变法、高应变法、声波透射法或</w:t>
            </w:r>
            <w:proofErr w:type="gramStart"/>
            <w:r w:rsidRPr="00560A9F">
              <w:rPr>
                <w:rFonts w:ascii="宋体" w:eastAsia="宋体" w:hAnsi="宋体" w:hint="eastAsia"/>
                <w:color w:val="000000"/>
                <w:sz w:val="24"/>
                <w:szCs w:val="24"/>
              </w:rPr>
              <w:t>钻芯法</w:t>
            </w:r>
            <w:proofErr w:type="gramEnd"/>
          </w:p>
        </w:tc>
        <w:tc>
          <w:tcPr>
            <w:tcW w:w="9586" w:type="dxa"/>
            <w:gridSpan w:val="2"/>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根据桩型，分别按本表预制桩、小直径混凝土灌注桩、大直径混凝土灌注桩桩身质量检测数量执行。</w:t>
            </w:r>
          </w:p>
        </w:tc>
      </w:tr>
      <w:tr w:rsidR="00553FF9" w:rsidRPr="00560A9F" w:rsidTr="003E12C3">
        <w:trPr>
          <w:gridAfter w:val="1"/>
          <w:wAfter w:w="215" w:type="dxa"/>
          <w:cantSplit/>
          <w:trHeight w:val="145"/>
          <w:jc w:val="center"/>
        </w:trPr>
        <w:tc>
          <w:tcPr>
            <w:tcW w:w="1324"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c>
          <w:tcPr>
            <w:tcW w:w="1107" w:type="dxa"/>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承载力</w:t>
            </w:r>
          </w:p>
        </w:tc>
        <w:tc>
          <w:tcPr>
            <w:tcW w:w="2248"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静载试验</w:t>
            </w:r>
          </w:p>
        </w:tc>
        <w:tc>
          <w:tcPr>
            <w:tcW w:w="9586" w:type="dxa"/>
            <w:gridSpan w:val="2"/>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bCs/>
                <w:color w:val="000000"/>
                <w:sz w:val="24"/>
                <w:szCs w:val="24"/>
              </w:rPr>
              <w:t>不宜少于有</w:t>
            </w:r>
            <w:r w:rsidRPr="00560A9F">
              <w:rPr>
                <w:rFonts w:ascii="宋体" w:eastAsia="宋体" w:hAnsi="宋体" w:hint="eastAsia"/>
                <w:color w:val="000000"/>
                <w:sz w:val="24"/>
                <w:szCs w:val="24"/>
              </w:rPr>
              <w:t>竖向</w:t>
            </w:r>
            <w:r w:rsidRPr="00560A9F">
              <w:rPr>
                <w:rFonts w:ascii="宋体" w:eastAsia="宋体" w:hAnsi="宋体" w:hint="eastAsia"/>
                <w:bCs/>
                <w:color w:val="000000"/>
                <w:sz w:val="24"/>
                <w:szCs w:val="24"/>
              </w:rPr>
              <w:t>抗拔或水平承载力设计要求的桩总数的1%，且不少于3根</w:t>
            </w:r>
            <w:r w:rsidRPr="00560A9F">
              <w:rPr>
                <w:rFonts w:ascii="宋体" w:eastAsia="宋体" w:hAnsi="宋体" w:hint="eastAsia"/>
                <w:color w:val="000000"/>
                <w:sz w:val="24"/>
                <w:szCs w:val="24"/>
              </w:rPr>
              <w:t>；当总桩数少于50根时，检测数量不应少于2根</w:t>
            </w:r>
            <w:r w:rsidRPr="00560A9F">
              <w:rPr>
                <w:rFonts w:ascii="宋体" w:eastAsia="宋体" w:hAnsi="宋体" w:hint="eastAsia"/>
                <w:bCs/>
                <w:color w:val="000000"/>
                <w:sz w:val="24"/>
                <w:szCs w:val="24"/>
              </w:rPr>
              <w:t>。</w:t>
            </w:r>
            <w:r w:rsidRPr="00560A9F">
              <w:rPr>
                <w:rFonts w:ascii="宋体" w:eastAsia="宋体" w:hAnsi="宋体" w:hint="eastAsia"/>
                <w:color w:val="000000"/>
                <w:sz w:val="24"/>
                <w:szCs w:val="24"/>
              </w:rPr>
              <w:t>当确因试验设备或现场条件等限制，难以进行单桩竖向抗拔、水平承载力检测时，应由设计单位根据勘察、施工、其他检测等情况进行抗拔或水平承载力的复核验算；验算合格的，可以不进行静载试验。</w:t>
            </w:r>
          </w:p>
        </w:tc>
      </w:tr>
      <w:tr w:rsidR="00553FF9" w:rsidRPr="00560A9F" w:rsidTr="003E12C3">
        <w:trPr>
          <w:gridAfter w:val="1"/>
          <w:wAfter w:w="215" w:type="dxa"/>
          <w:trHeight w:val="605"/>
          <w:jc w:val="center"/>
        </w:trPr>
        <w:tc>
          <w:tcPr>
            <w:tcW w:w="1324"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pacing w:val="-20"/>
                <w:sz w:val="24"/>
                <w:szCs w:val="24"/>
              </w:rPr>
              <w:t>抗浮锚杆</w:t>
            </w:r>
          </w:p>
        </w:tc>
        <w:tc>
          <w:tcPr>
            <w:tcW w:w="1107" w:type="dxa"/>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承载力</w:t>
            </w:r>
          </w:p>
        </w:tc>
        <w:tc>
          <w:tcPr>
            <w:tcW w:w="2248"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静载试验</w:t>
            </w:r>
          </w:p>
        </w:tc>
        <w:tc>
          <w:tcPr>
            <w:tcW w:w="9586"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抽</w:t>
            </w:r>
            <w:r w:rsidRPr="00560A9F">
              <w:rPr>
                <w:rFonts w:ascii="宋体" w:eastAsia="宋体" w:hAnsi="宋体" w:hint="eastAsia"/>
                <w:bCs/>
                <w:color w:val="000000"/>
                <w:sz w:val="24"/>
                <w:szCs w:val="24"/>
              </w:rPr>
              <w:t>检数量不少于锚杆总桩数的5%，且不少于6根。</w:t>
            </w:r>
          </w:p>
        </w:tc>
      </w:tr>
      <w:tr w:rsidR="00553FF9" w:rsidRPr="00560A9F" w:rsidTr="003E12C3">
        <w:trPr>
          <w:trHeight w:val="202"/>
          <w:jc w:val="center"/>
        </w:trPr>
        <w:tc>
          <w:tcPr>
            <w:tcW w:w="1257" w:type="dxa"/>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基础类型</w:t>
            </w:r>
          </w:p>
        </w:tc>
        <w:tc>
          <w:tcPr>
            <w:tcW w:w="2987" w:type="dxa"/>
            <w:gridSpan w:val="3"/>
            <w:vAlign w:val="center"/>
          </w:tcPr>
          <w:p w:rsidR="00553FF9" w:rsidRPr="00560A9F" w:rsidRDefault="00553FF9" w:rsidP="003E12C3">
            <w:pPr>
              <w:spacing w:line="480" w:lineRule="auto"/>
              <w:jc w:val="center"/>
              <w:rPr>
                <w:rFonts w:ascii="宋体" w:eastAsia="宋体" w:hAnsi="宋体"/>
                <w:color w:val="000000"/>
                <w:sz w:val="24"/>
                <w:szCs w:val="24"/>
              </w:rPr>
            </w:pPr>
            <w:r w:rsidRPr="00560A9F">
              <w:rPr>
                <w:rFonts w:ascii="宋体" w:eastAsia="宋体" w:hAnsi="宋体" w:hint="eastAsia"/>
                <w:color w:val="000000"/>
                <w:sz w:val="24"/>
                <w:szCs w:val="24"/>
              </w:rPr>
              <w:t>检测项目</w:t>
            </w:r>
          </w:p>
        </w:tc>
        <w:tc>
          <w:tcPr>
            <w:tcW w:w="2323" w:type="dxa"/>
            <w:gridSpan w:val="2"/>
            <w:vAlign w:val="center"/>
          </w:tcPr>
          <w:p w:rsidR="00553FF9" w:rsidRPr="00560A9F" w:rsidRDefault="00553FF9" w:rsidP="003E12C3">
            <w:pPr>
              <w:spacing w:line="480" w:lineRule="auto"/>
              <w:jc w:val="center"/>
              <w:rPr>
                <w:rFonts w:ascii="宋体" w:eastAsia="宋体" w:hAnsi="宋体"/>
                <w:color w:val="000000"/>
                <w:sz w:val="24"/>
                <w:szCs w:val="24"/>
              </w:rPr>
            </w:pPr>
            <w:r w:rsidRPr="00560A9F">
              <w:rPr>
                <w:rFonts w:ascii="宋体" w:eastAsia="宋体" w:hAnsi="宋体" w:hint="eastAsia"/>
                <w:color w:val="000000"/>
                <w:sz w:val="24"/>
                <w:szCs w:val="24"/>
              </w:rPr>
              <w:t>检测方法</w:t>
            </w:r>
          </w:p>
        </w:tc>
        <w:tc>
          <w:tcPr>
            <w:tcW w:w="7913" w:type="dxa"/>
            <w:gridSpan w:val="2"/>
            <w:vAlign w:val="center"/>
          </w:tcPr>
          <w:p w:rsidR="00553FF9" w:rsidRPr="00560A9F" w:rsidRDefault="00553FF9" w:rsidP="003E12C3">
            <w:pPr>
              <w:spacing w:line="480" w:lineRule="auto"/>
              <w:jc w:val="center"/>
              <w:rPr>
                <w:rFonts w:ascii="宋体" w:eastAsia="宋体" w:hAnsi="宋体"/>
                <w:color w:val="000000"/>
                <w:sz w:val="24"/>
                <w:szCs w:val="24"/>
              </w:rPr>
            </w:pPr>
            <w:r w:rsidRPr="00560A9F">
              <w:rPr>
                <w:rFonts w:ascii="宋体" w:eastAsia="宋体" w:hAnsi="宋体" w:hint="eastAsia"/>
                <w:color w:val="000000"/>
                <w:sz w:val="24"/>
                <w:szCs w:val="24"/>
              </w:rPr>
              <w:t>检测数量</w:t>
            </w:r>
          </w:p>
        </w:tc>
      </w:tr>
      <w:tr w:rsidR="00553FF9" w:rsidRPr="00560A9F" w:rsidTr="003E12C3">
        <w:trPr>
          <w:cantSplit/>
          <w:trHeight w:val="313"/>
          <w:jc w:val="center"/>
        </w:trPr>
        <w:tc>
          <w:tcPr>
            <w:tcW w:w="1257" w:type="dxa"/>
            <w:vMerge w:val="restart"/>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天然土（含全风</w:t>
            </w:r>
            <w:r w:rsidRPr="00560A9F">
              <w:rPr>
                <w:rFonts w:ascii="宋体" w:eastAsia="宋体" w:hAnsi="宋体" w:hint="eastAsia"/>
                <w:color w:val="000000"/>
                <w:sz w:val="24"/>
                <w:szCs w:val="24"/>
              </w:rPr>
              <w:lastRenderedPageBreak/>
              <w:t>化岩、强风化岩）地基</w:t>
            </w: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lastRenderedPageBreak/>
              <w:t>地基土性状</w:t>
            </w:r>
          </w:p>
        </w:tc>
        <w:tc>
          <w:tcPr>
            <w:tcW w:w="232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标准贯入试验、圆锥动力触探试验等</w:t>
            </w:r>
          </w:p>
        </w:tc>
        <w:tc>
          <w:tcPr>
            <w:tcW w:w="791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抽检数量为每</w:t>
            </w:r>
            <w:smartTag w:uri="urn:schemas-microsoft-com:office:smarttags" w:element="chmetcnv">
              <w:smartTagPr>
                <w:attr w:name="UnitName" w:val="m2"/>
                <w:attr w:name="SourceValue" w:val="200"/>
                <w:attr w:name="HasSpace" w:val="False"/>
                <w:attr w:name="Negative" w:val="False"/>
                <w:attr w:name="NumberType" w:val="1"/>
                <w:attr w:name="TCSC" w:val="0"/>
              </w:smartTagPr>
              <w:r w:rsidRPr="00560A9F">
                <w:rPr>
                  <w:rFonts w:ascii="宋体" w:eastAsia="宋体" w:hAnsi="宋体" w:hint="eastAsia"/>
                  <w:color w:val="000000"/>
                  <w:sz w:val="24"/>
                  <w:szCs w:val="24"/>
                </w:rPr>
                <w:t>200m</w:t>
              </w:r>
              <w:r w:rsidRPr="00560A9F">
                <w:rPr>
                  <w:rFonts w:ascii="宋体" w:eastAsia="宋体" w:hAnsi="宋体" w:hint="eastAsia"/>
                  <w:color w:val="000000"/>
                  <w:sz w:val="24"/>
                  <w:szCs w:val="24"/>
                  <w:vertAlign w:val="superscript"/>
                </w:rPr>
                <w:t>2</w:t>
              </w:r>
            </w:smartTag>
            <w:r w:rsidRPr="00560A9F">
              <w:rPr>
                <w:rFonts w:ascii="宋体" w:eastAsia="宋体" w:hAnsi="宋体" w:hint="eastAsia"/>
                <w:color w:val="000000"/>
                <w:sz w:val="24"/>
                <w:szCs w:val="24"/>
              </w:rPr>
              <w:t>不少于1个孔，且总数不得少于10孔，每个独立柱基下不得少于1孔，基槽每20延</w:t>
            </w:r>
            <w:proofErr w:type="gramStart"/>
            <w:r w:rsidRPr="00560A9F">
              <w:rPr>
                <w:rFonts w:ascii="宋体" w:eastAsia="宋体" w:hAnsi="宋体" w:hint="eastAsia"/>
                <w:color w:val="000000"/>
                <w:sz w:val="24"/>
                <w:szCs w:val="24"/>
              </w:rPr>
              <w:t>米不得</w:t>
            </w:r>
            <w:proofErr w:type="gramEnd"/>
            <w:r w:rsidRPr="00560A9F">
              <w:rPr>
                <w:rFonts w:ascii="宋体" w:eastAsia="宋体" w:hAnsi="宋体" w:hint="eastAsia"/>
                <w:color w:val="000000"/>
                <w:sz w:val="24"/>
                <w:szCs w:val="24"/>
              </w:rPr>
              <w:t>少于1孔。</w:t>
            </w:r>
          </w:p>
        </w:tc>
      </w:tr>
      <w:tr w:rsidR="00553FF9" w:rsidRPr="00560A9F" w:rsidTr="003E12C3">
        <w:trPr>
          <w:cantSplit/>
          <w:trHeight w:val="85"/>
          <w:jc w:val="center"/>
        </w:trPr>
        <w:tc>
          <w:tcPr>
            <w:tcW w:w="1257" w:type="dxa"/>
            <w:vMerge/>
            <w:vAlign w:val="center"/>
          </w:tcPr>
          <w:p w:rsidR="00553FF9" w:rsidRPr="00560A9F" w:rsidRDefault="00553FF9" w:rsidP="003E12C3">
            <w:pPr>
              <w:spacing w:line="480" w:lineRule="auto"/>
              <w:rPr>
                <w:rFonts w:ascii="宋体" w:eastAsia="宋体" w:hAnsi="宋体"/>
                <w:color w:val="000000"/>
                <w:sz w:val="24"/>
                <w:szCs w:val="24"/>
              </w:rPr>
            </w:pP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承载力</w:t>
            </w:r>
          </w:p>
        </w:tc>
        <w:tc>
          <w:tcPr>
            <w:tcW w:w="232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平板载荷试验</w:t>
            </w:r>
          </w:p>
        </w:tc>
        <w:tc>
          <w:tcPr>
            <w:tcW w:w="791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抽检数量为每</w:t>
            </w:r>
            <w:smartTag w:uri="urn:schemas-microsoft-com:office:smarttags" w:element="chmetcnv">
              <w:smartTagPr>
                <w:attr w:name="UnitName" w:val="m2"/>
                <w:attr w:name="SourceValue" w:val="500"/>
                <w:attr w:name="HasSpace" w:val="False"/>
                <w:attr w:name="Negative" w:val="False"/>
                <w:attr w:name="NumberType" w:val="1"/>
                <w:attr w:name="TCSC" w:val="0"/>
              </w:smartTagPr>
              <w:r w:rsidRPr="00560A9F">
                <w:rPr>
                  <w:rFonts w:ascii="宋体" w:eastAsia="宋体" w:hAnsi="宋体" w:hint="eastAsia"/>
                  <w:color w:val="000000"/>
                  <w:sz w:val="24"/>
                  <w:szCs w:val="24"/>
                </w:rPr>
                <w:t>500m</w:t>
              </w:r>
              <w:r w:rsidRPr="00560A9F">
                <w:rPr>
                  <w:rFonts w:ascii="宋体" w:eastAsia="宋体" w:hAnsi="宋体" w:hint="eastAsia"/>
                  <w:color w:val="000000"/>
                  <w:sz w:val="24"/>
                  <w:szCs w:val="24"/>
                  <w:vertAlign w:val="superscript"/>
                </w:rPr>
                <w:t>2</w:t>
              </w:r>
            </w:smartTag>
            <w:r w:rsidRPr="00560A9F">
              <w:rPr>
                <w:rFonts w:ascii="宋体" w:eastAsia="宋体" w:hAnsi="宋体" w:hint="eastAsia"/>
                <w:color w:val="000000"/>
                <w:sz w:val="24"/>
                <w:szCs w:val="24"/>
              </w:rPr>
              <w:t>不少于1个点，且总数不得少于3点；对于各类岩土均应进行抽检；对于复杂场地或重要建筑地基还应增加抽检数量。</w:t>
            </w:r>
          </w:p>
        </w:tc>
      </w:tr>
      <w:tr w:rsidR="00553FF9" w:rsidRPr="00560A9F" w:rsidTr="003E12C3">
        <w:trPr>
          <w:trHeight w:val="629"/>
          <w:jc w:val="center"/>
        </w:trPr>
        <w:tc>
          <w:tcPr>
            <w:tcW w:w="1257" w:type="dxa"/>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lastRenderedPageBreak/>
              <w:t>岩石地基</w:t>
            </w: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岩土性状或地基承载力</w:t>
            </w:r>
          </w:p>
        </w:tc>
        <w:tc>
          <w:tcPr>
            <w:tcW w:w="2323" w:type="dxa"/>
            <w:gridSpan w:val="2"/>
            <w:vAlign w:val="center"/>
          </w:tcPr>
          <w:p w:rsidR="00553FF9" w:rsidRPr="00560A9F" w:rsidRDefault="00553FF9" w:rsidP="003E12C3">
            <w:pPr>
              <w:spacing w:line="480" w:lineRule="auto"/>
              <w:rPr>
                <w:rFonts w:ascii="宋体" w:eastAsia="宋体" w:hAnsi="宋体"/>
                <w:color w:val="000000"/>
                <w:sz w:val="24"/>
                <w:szCs w:val="24"/>
              </w:rPr>
            </w:pP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或岩基载荷试验</w:t>
            </w:r>
          </w:p>
        </w:tc>
        <w:tc>
          <w:tcPr>
            <w:tcW w:w="791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1、应采用</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，抽检数量不得少于6孔，钻孔深度应满足设计要求，每孔截取一组</w:t>
            </w:r>
            <w:proofErr w:type="gramStart"/>
            <w:r w:rsidRPr="00560A9F">
              <w:rPr>
                <w:rFonts w:ascii="宋体" w:eastAsia="宋体" w:hAnsi="宋体" w:hint="eastAsia"/>
                <w:color w:val="000000"/>
                <w:sz w:val="24"/>
                <w:szCs w:val="24"/>
              </w:rPr>
              <w:t>三个芯样试件</w:t>
            </w:r>
            <w:proofErr w:type="gramEnd"/>
            <w:r w:rsidRPr="00560A9F">
              <w:rPr>
                <w:rFonts w:ascii="宋体" w:eastAsia="宋体" w:hAnsi="宋体" w:hint="eastAsia"/>
                <w:color w:val="000000"/>
                <w:sz w:val="24"/>
                <w:szCs w:val="24"/>
              </w:rPr>
              <w:t>；对于各类岩石均应进行抽检；地质条件复杂的工程还应增加抽样孔数。</w:t>
            </w:r>
          </w:p>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2、地基基础设计等级为甲级、乙级或岩石</w:t>
            </w:r>
            <w:proofErr w:type="gramStart"/>
            <w:r w:rsidRPr="00560A9F">
              <w:rPr>
                <w:rFonts w:ascii="宋体" w:eastAsia="宋体" w:hAnsi="宋体" w:hint="eastAsia"/>
                <w:color w:val="000000"/>
                <w:sz w:val="24"/>
                <w:szCs w:val="24"/>
              </w:rPr>
              <w:t>芯样无法制作成芯样</w:t>
            </w:r>
            <w:proofErr w:type="gramEnd"/>
            <w:r w:rsidRPr="00560A9F">
              <w:rPr>
                <w:rFonts w:ascii="宋体" w:eastAsia="宋体" w:hAnsi="宋体" w:hint="eastAsia"/>
                <w:color w:val="000000"/>
                <w:sz w:val="24"/>
                <w:szCs w:val="24"/>
              </w:rPr>
              <w:t>试件的，还应进行岩基载荷试验；对于各类岩基均应进行抽检，抽检点数不得少于3点。</w:t>
            </w:r>
          </w:p>
        </w:tc>
      </w:tr>
      <w:tr w:rsidR="00553FF9" w:rsidRPr="00560A9F" w:rsidTr="003E12C3">
        <w:trPr>
          <w:cantSplit/>
          <w:trHeight w:val="562"/>
          <w:jc w:val="center"/>
        </w:trPr>
        <w:tc>
          <w:tcPr>
            <w:tcW w:w="1257" w:type="dxa"/>
            <w:vMerge w:val="restart"/>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lastRenderedPageBreak/>
              <w:t>处理地基</w:t>
            </w: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灰土、砂和砂石地基、土工合成材料、粉煤灰、强</w:t>
            </w:r>
            <w:proofErr w:type="gramStart"/>
            <w:r w:rsidRPr="00560A9F">
              <w:rPr>
                <w:rFonts w:ascii="宋体" w:eastAsia="宋体" w:hAnsi="宋体" w:hint="eastAsia"/>
                <w:color w:val="000000"/>
                <w:sz w:val="24"/>
                <w:szCs w:val="24"/>
              </w:rPr>
              <w:t>夯处理</w:t>
            </w:r>
            <w:proofErr w:type="gramEnd"/>
            <w:r w:rsidRPr="00560A9F">
              <w:rPr>
                <w:rFonts w:ascii="宋体" w:eastAsia="宋体" w:hAnsi="宋体" w:hint="eastAsia"/>
                <w:color w:val="000000"/>
                <w:sz w:val="24"/>
                <w:szCs w:val="24"/>
              </w:rPr>
              <w:t>地基、不加</w:t>
            </w:r>
            <w:proofErr w:type="gramStart"/>
            <w:r w:rsidRPr="00560A9F">
              <w:rPr>
                <w:rFonts w:ascii="宋体" w:eastAsia="宋体" w:hAnsi="宋体" w:hint="eastAsia"/>
                <w:color w:val="000000"/>
                <w:sz w:val="24"/>
                <w:szCs w:val="24"/>
              </w:rPr>
              <w:t>填料振冲加密</w:t>
            </w:r>
            <w:proofErr w:type="gramEnd"/>
            <w:r w:rsidRPr="00560A9F">
              <w:rPr>
                <w:rFonts w:ascii="宋体" w:eastAsia="宋体" w:hAnsi="宋体" w:hint="eastAsia"/>
                <w:color w:val="000000"/>
                <w:sz w:val="24"/>
                <w:szCs w:val="24"/>
              </w:rPr>
              <w:t>处理地基质量；</w:t>
            </w:r>
            <w:proofErr w:type="gramStart"/>
            <w:r w:rsidRPr="00560A9F">
              <w:rPr>
                <w:rFonts w:ascii="宋体" w:eastAsia="宋体" w:hAnsi="宋体" w:hint="eastAsia"/>
                <w:color w:val="000000"/>
                <w:sz w:val="24"/>
                <w:szCs w:val="24"/>
              </w:rPr>
              <w:t>换填土地</w:t>
            </w:r>
            <w:proofErr w:type="gramEnd"/>
            <w:r w:rsidRPr="00560A9F">
              <w:rPr>
                <w:rFonts w:ascii="宋体" w:eastAsia="宋体" w:hAnsi="宋体" w:hint="eastAsia"/>
                <w:color w:val="000000"/>
                <w:sz w:val="24"/>
                <w:szCs w:val="24"/>
              </w:rPr>
              <w:t>基质量</w:t>
            </w:r>
          </w:p>
        </w:tc>
        <w:tc>
          <w:tcPr>
            <w:tcW w:w="232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标准贯入试验、圆锥动力触探试验、静力触探试验等</w:t>
            </w:r>
          </w:p>
        </w:tc>
        <w:tc>
          <w:tcPr>
            <w:tcW w:w="7913" w:type="dxa"/>
            <w:gridSpan w:val="2"/>
            <w:vMerge w:val="restart"/>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抽检数量为每</w:t>
            </w:r>
            <w:smartTag w:uri="urn:schemas-microsoft-com:office:smarttags" w:element="chmetcnv">
              <w:smartTagPr>
                <w:attr w:name="UnitName" w:val="m2"/>
                <w:attr w:name="SourceValue" w:val="200"/>
                <w:attr w:name="HasSpace" w:val="False"/>
                <w:attr w:name="Negative" w:val="False"/>
                <w:attr w:name="NumberType" w:val="1"/>
                <w:attr w:name="TCSC" w:val="0"/>
              </w:smartTagPr>
              <w:r w:rsidRPr="00560A9F">
                <w:rPr>
                  <w:rFonts w:ascii="宋体" w:eastAsia="宋体" w:hAnsi="宋体" w:hint="eastAsia"/>
                  <w:color w:val="000000"/>
                  <w:sz w:val="24"/>
                  <w:szCs w:val="24"/>
                </w:rPr>
                <w:t>200m</w:t>
              </w:r>
              <w:r w:rsidRPr="00560A9F">
                <w:rPr>
                  <w:rFonts w:ascii="宋体" w:eastAsia="宋体" w:hAnsi="宋体" w:hint="eastAsia"/>
                  <w:color w:val="000000"/>
                  <w:sz w:val="24"/>
                  <w:szCs w:val="24"/>
                  <w:vertAlign w:val="superscript"/>
                </w:rPr>
                <w:t>2</w:t>
              </w:r>
            </w:smartTag>
            <w:r w:rsidRPr="00560A9F">
              <w:rPr>
                <w:rFonts w:ascii="宋体" w:eastAsia="宋体" w:hAnsi="宋体" w:hint="eastAsia"/>
                <w:color w:val="000000"/>
                <w:sz w:val="24"/>
                <w:szCs w:val="24"/>
              </w:rPr>
              <w:t>不少于1个孔，且总数不得少于10孔，每个独立柱基下不得少于1孔，基槽每20延</w:t>
            </w:r>
            <w:proofErr w:type="gramStart"/>
            <w:r w:rsidRPr="00560A9F">
              <w:rPr>
                <w:rFonts w:ascii="宋体" w:eastAsia="宋体" w:hAnsi="宋体" w:hint="eastAsia"/>
                <w:color w:val="000000"/>
                <w:sz w:val="24"/>
                <w:szCs w:val="24"/>
              </w:rPr>
              <w:t>米不得</w:t>
            </w:r>
            <w:proofErr w:type="gramEnd"/>
            <w:r w:rsidRPr="00560A9F">
              <w:rPr>
                <w:rFonts w:ascii="宋体" w:eastAsia="宋体" w:hAnsi="宋体" w:hint="eastAsia"/>
                <w:color w:val="000000"/>
                <w:sz w:val="24"/>
                <w:szCs w:val="24"/>
              </w:rPr>
              <w:t>少于1孔；</w:t>
            </w:r>
            <w:proofErr w:type="gramStart"/>
            <w:r w:rsidRPr="00560A9F">
              <w:rPr>
                <w:rFonts w:ascii="宋体" w:eastAsia="宋体" w:hAnsi="宋体" w:hint="eastAsia"/>
                <w:color w:val="000000"/>
                <w:sz w:val="24"/>
                <w:szCs w:val="24"/>
              </w:rPr>
              <w:t>对于换填地基</w:t>
            </w:r>
            <w:proofErr w:type="gramEnd"/>
            <w:r w:rsidRPr="00560A9F">
              <w:rPr>
                <w:rFonts w:ascii="宋体" w:eastAsia="宋体" w:hAnsi="宋体" w:hint="eastAsia"/>
                <w:color w:val="000000"/>
                <w:sz w:val="24"/>
                <w:szCs w:val="24"/>
              </w:rPr>
              <w:t>还必须分层进行压实系数检测，可选择《土工试验方法标准》GB/T50123中的环刀法、</w:t>
            </w:r>
            <w:proofErr w:type="gramStart"/>
            <w:r w:rsidRPr="00560A9F">
              <w:rPr>
                <w:rFonts w:ascii="宋体" w:eastAsia="宋体" w:hAnsi="宋体" w:hint="eastAsia"/>
                <w:color w:val="000000"/>
                <w:sz w:val="24"/>
                <w:szCs w:val="24"/>
              </w:rPr>
              <w:t>灌砂法</w:t>
            </w:r>
            <w:proofErr w:type="gramEnd"/>
            <w:r w:rsidRPr="00560A9F">
              <w:rPr>
                <w:rFonts w:ascii="宋体" w:eastAsia="宋体" w:hAnsi="宋体" w:hint="eastAsia"/>
                <w:color w:val="000000"/>
                <w:sz w:val="24"/>
                <w:szCs w:val="24"/>
              </w:rPr>
              <w:t>或其他方法进行检测，抽检数量：对大基坑每50～100m</w:t>
            </w:r>
            <w:r w:rsidRPr="00560A9F">
              <w:rPr>
                <w:rFonts w:ascii="宋体" w:eastAsia="宋体" w:hAnsi="宋体" w:hint="eastAsia"/>
                <w:color w:val="000000"/>
                <w:sz w:val="24"/>
                <w:szCs w:val="24"/>
                <w:vertAlign w:val="superscript"/>
              </w:rPr>
              <w:t>2</w:t>
            </w:r>
            <w:r w:rsidRPr="00560A9F">
              <w:rPr>
                <w:rFonts w:ascii="宋体" w:eastAsia="宋体" w:hAnsi="宋体" w:hint="eastAsia"/>
                <w:color w:val="000000"/>
                <w:sz w:val="24"/>
                <w:szCs w:val="24"/>
              </w:rPr>
              <w:t>不少于1点，对基槽每10～20m不少于1点，每个独立柱基下不得少于1点。</w:t>
            </w:r>
          </w:p>
        </w:tc>
      </w:tr>
      <w:tr w:rsidR="00553FF9" w:rsidRPr="00560A9F" w:rsidTr="003E12C3">
        <w:trPr>
          <w:cantSplit/>
          <w:trHeight w:val="236"/>
          <w:jc w:val="center"/>
        </w:trPr>
        <w:tc>
          <w:tcPr>
            <w:tcW w:w="1257" w:type="dxa"/>
            <w:vMerge/>
            <w:vAlign w:val="center"/>
          </w:tcPr>
          <w:p w:rsidR="00553FF9" w:rsidRPr="00560A9F" w:rsidRDefault="00553FF9" w:rsidP="003E12C3">
            <w:pPr>
              <w:spacing w:line="480" w:lineRule="auto"/>
              <w:rPr>
                <w:rFonts w:ascii="宋体" w:eastAsia="宋体" w:hAnsi="宋体"/>
                <w:color w:val="000000"/>
                <w:sz w:val="24"/>
                <w:szCs w:val="24"/>
              </w:rPr>
            </w:pP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预压地基质量</w:t>
            </w:r>
          </w:p>
        </w:tc>
        <w:tc>
          <w:tcPr>
            <w:tcW w:w="232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十字板剪切试验和室内土工试验</w:t>
            </w:r>
          </w:p>
        </w:tc>
        <w:tc>
          <w:tcPr>
            <w:tcW w:w="7913"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r>
      <w:tr w:rsidR="00553FF9" w:rsidRPr="00560A9F" w:rsidTr="003E12C3">
        <w:trPr>
          <w:cantSplit/>
          <w:trHeight w:val="40"/>
          <w:jc w:val="center"/>
        </w:trPr>
        <w:tc>
          <w:tcPr>
            <w:tcW w:w="1257" w:type="dxa"/>
            <w:vMerge/>
            <w:vAlign w:val="center"/>
          </w:tcPr>
          <w:p w:rsidR="00553FF9" w:rsidRPr="00560A9F" w:rsidRDefault="00553FF9" w:rsidP="003E12C3">
            <w:pPr>
              <w:spacing w:line="480" w:lineRule="auto"/>
              <w:rPr>
                <w:rFonts w:ascii="宋体" w:eastAsia="宋体" w:hAnsi="宋体"/>
                <w:color w:val="000000"/>
                <w:sz w:val="24"/>
                <w:szCs w:val="24"/>
              </w:rPr>
            </w:pP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注浆地基质量</w:t>
            </w:r>
          </w:p>
        </w:tc>
        <w:tc>
          <w:tcPr>
            <w:tcW w:w="232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标准贯入试验、</w:t>
            </w:r>
            <w:proofErr w:type="gramStart"/>
            <w:r w:rsidRPr="00560A9F">
              <w:rPr>
                <w:rFonts w:ascii="宋体" w:eastAsia="宋体" w:hAnsi="宋体" w:hint="eastAsia"/>
                <w:color w:val="000000"/>
                <w:sz w:val="24"/>
                <w:szCs w:val="24"/>
              </w:rPr>
              <w:t>钻芯法</w:t>
            </w:r>
            <w:proofErr w:type="gramEnd"/>
          </w:p>
        </w:tc>
        <w:tc>
          <w:tcPr>
            <w:tcW w:w="7913"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r>
      <w:tr w:rsidR="00553FF9" w:rsidRPr="00560A9F" w:rsidTr="003E12C3">
        <w:trPr>
          <w:cantSplit/>
          <w:trHeight w:val="487"/>
          <w:jc w:val="center"/>
        </w:trPr>
        <w:tc>
          <w:tcPr>
            <w:tcW w:w="1257" w:type="dxa"/>
            <w:vMerge/>
            <w:vAlign w:val="center"/>
          </w:tcPr>
          <w:p w:rsidR="00553FF9" w:rsidRPr="00560A9F" w:rsidRDefault="00553FF9" w:rsidP="003E12C3">
            <w:pPr>
              <w:spacing w:line="480" w:lineRule="auto"/>
              <w:rPr>
                <w:rFonts w:ascii="宋体" w:eastAsia="宋体" w:hAnsi="宋体"/>
                <w:color w:val="000000"/>
                <w:sz w:val="24"/>
                <w:szCs w:val="24"/>
              </w:rPr>
            </w:pP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承载力</w:t>
            </w:r>
          </w:p>
        </w:tc>
        <w:tc>
          <w:tcPr>
            <w:tcW w:w="232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载荷试验</w:t>
            </w:r>
          </w:p>
        </w:tc>
        <w:tc>
          <w:tcPr>
            <w:tcW w:w="791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抽检数量为每</w:t>
            </w:r>
            <w:smartTag w:uri="urn:schemas-microsoft-com:office:smarttags" w:element="chmetcnv">
              <w:smartTagPr>
                <w:attr w:name="UnitName" w:val="m2"/>
                <w:attr w:name="SourceValue" w:val="500"/>
                <w:attr w:name="HasSpace" w:val="False"/>
                <w:attr w:name="Negative" w:val="False"/>
                <w:attr w:name="NumberType" w:val="1"/>
                <w:attr w:name="TCSC" w:val="0"/>
              </w:smartTagPr>
              <w:r w:rsidRPr="00560A9F">
                <w:rPr>
                  <w:rFonts w:ascii="宋体" w:eastAsia="宋体" w:hAnsi="宋体" w:hint="eastAsia"/>
                  <w:color w:val="000000"/>
                  <w:sz w:val="24"/>
                  <w:szCs w:val="24"/>
                </w:rPr>
                <w:t>500m</w:t>
              </w:r>
              <w:r w:rsidRPr="00560A9F">
                <w:rPr>
                  <w:rFonts w:ascii="宋体" w:eastAsia="宋体" w:hAnsi="宋体" w:hint="eastAsia"/>
                  <w:color w:val="000000"/>
                  <w:sz w:val="24"/>
                  <w:szCs w:val="24"/>
                  <w:vertAlign w:val="superscript"/>
                </w:rPr>
                <w:t>2</w:t>
              </w:r>
            </w:smartTag>
            <w:r w:rsidRPr="00560A9F">
              <w:rPr>
                <w:rFonts w:ascii="宋体" w:eastAsia="宋体" w:hAnsi="宋体" w:hint="eastAsia"/>
                <w:color w:val="000000"/>
                <w:sz w:val="24"/>
                <w:szCs w:val="24"/>
              </w:rPr>
              <w:t>不少于1个点，且总数不得少于3点；对于各类地基均应进行抽检，对于复杂场地或重要建筑地基还应增加抽检数量。</w:t>
            </w:r>
          </w:p>
        </w:tc>
      </w:tr>
      <w:tr w:rsidR="00553FF9" w:rsidRPr="00560A9F" w:rsidTr="003E12C3">
        <w:trPr>
          <w:cantSplit/>
          <w:trHeight w:val="151"/>
          <w:jc w:val="center"/>
        </w:trPr>
        <w:tc>
          <w:tcPr>
            <w:tcW w:w="1257" w:type="dxa"/>
            <w:vMerge w:val="restart"/>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复合地基</w:t>
            </w: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水泥土搅拌桩质量</w:t>
            </w:r>
          </w:p>
        </w:tc>
        <w:tc>
          <w:tcPr>
            <w:tcW w:w="2323" w:type="dxa"/>
            <w:gridSpan w:val="2"/>
            <w:vMerge w:val="restart"/>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单桩竖向抗压载荷试验和</w:t>
            </w:r>
            <w:proofErr w:type="gramStart"/>
            <w:r w:rsidRPr="00560A9F">
              <w:rPr>
                <w:rFonts w:ascii="宋体" w:eastAsia="宋体" w:hAnsi="宋体" w:hint="eastAsia"/>
                <w:color w:val="000000"/>
                <w:sz w:val="24"/>
                <w:szCs w:val="24"/>
              </w:rPr>
              <w:t>钻芯法</w:t>
            </w:r>
            <w:proofErr w:type="gramEnd"/>
          </w:p>
        </w:tc>
        <w:tc>
          <w:tcPr>
            <w:tcW w:w="7913" w:type="dxa"/>
            <w:gridSpan w:val="2"/>
            <w:vMerge w:val="restart"/>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抽检数量不少于总桩（墩）数的0.5%，且不得少于3根。其中，水泥土搅拌桩和高压喷射桩的</w:t>
            </w:r>
            <w:proofErr w:type="gramStart"/>
            <w:r w:rsidRPr="00560A9F">
              <w:rPr>
                <w:rFonts w:ascii="宋体" w:eastAsia="宋体" w:hAnsi="宋体" w:hint="eastAsia"/>
                <w:color w:val="000000"/>
                <w:sz w:val="24"/>
                <w:szCs w:val="24"/>
              </w:rPr>
              <w:t>钻芯法</w:t>
            </w:r>
            <w:proofErr w:type="gramEnd"/>
            <w:r w:rsidRPr="00560A9F">
              <w:rPr>
                <w:rFonts w:ascii="宋体" w:eastAsia="宋体" w:hAnsi="宋体" w:hint="eastAsia"/>
                <w:color w:val="000000"/>
                <w:sz w:val="24"/>
                <w:szCs w:val="24"/>
              </w:rPr>
              <w:t>抽检数量不少于总桩（墩）数的0.25%，且不</w:t>
            </w:r>
            <w:r w:rsidRPr="00560A9F">
              <w:rPr>
                <w:rFonts w:ascii="宋体" w:eastAsia="宋体" w:hAnsi="宋体" w:hint="eastAsia"/>
                <w:color w:val="000000"/>
                <w:sz w:val="24"/>
                <w:szCs w:val="24"/>
              </w:rPr>
              <w:lastRenderedPageBreak/>
              <w:t>得少于3根。</w:t>
            </w:r>
          </w:p>
        </w:tc>
      </w:tr>
      <w:tr w:rsidR="00553FF9" w:rsidRPr="00560A9F" w:rsidTr="003E12C3">
        <w:trPr>
          <w:cantSplit/>
          <w:trHeight w:val="85"/>
          <w:jc w:val="center"/>
        </w:trPr>
        <w:tc>
          <w:tcPr>
            <w:tcW w:w="1257" w:type="dxa"/>
            <w:vMerge/>
            <w:vAlign w:val="center"/>
          </w:tcPr>
          <w:p w:rsidR="00553FF9" w:rsidRPr="00560A9F" w:rsidRDefault="00553FF9" w:rsidP="003E12C3">
            <w:pPr>
              <w:spacing w:line="480" w:lineRule="auto"/>
              <w:rPr>
                <w:rFonts w:ascii="宋体" w:eastAsia="宋体" w:hAnsi="宋体"/>
                <w:color w:val="000000"/>
                <w:sz w:val="24"/>
                <w:szCs w:val="24"/>
              </w:rPr>
            </w:pP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高压喷射桩质量</w:t>
            </w:r>
          </w:p>
        </w:tc>
        <w:tc>
          <w:tcPr>
            <w:tcW w:w="2323"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c>
          <w:tcPr>
            <w:tcW w:w="7913"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r>
      <w:tr w:rsidR="00553FF9" w:rsidRPr="00560A9F" w:rsidTr="003E12C3">
        <w:trPr>
          <w:cantSplit/>
          <w:trHeight w:val="85"/>
          <w:jc w:val="center"/>
        </w:trPr>
        <w:tc>
          <w:tcPr>
            <w:tcW w:w="1257" w:type="dxa"/>
            <w:vMerge/>
            <w:vAlign w:val="center"/>
          </w:tcPr>
          <w:p w:rsidR="00553FF9" w:rsidRPr="00560A9F" w:rsidRDefault="00553FF9" w:rsidP="003E12C3">
            <w:pPr>
              <w:spacing w:line="480" w:lineRule="auto"/>
              <w:rPr>
                <w:rFonts w:ascii="宋体" w:eastAsia="宋体" w:hAnsi="宋体"/>
                <w:color w:val="000000"/>
                <w:sz w:val="24"/>
                <w:szCs w:val="24"/>
              </w:rPr>
            </w:pP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proofErr w:type="gramStart"/>
            <w:r w:rsidRPr="00560A9F">
              <w:rPr>
                <w:rFonts w:ascii="宋体" w:eastAsia="宋体" w:hAnsi="宋体" w:hint="eastAsia"/>
                <w:color w:val="000000"/>
                <w:sz w:val="24"/>
                <w:szCs w:val="24"/>
              </w:rPr>
              <w:t>振</w:t>
            </w:r>
            <w:proofErr w:type="gramEnd"/>
            <w:r w:rsidRPr="00560A9F">
              <w:rPr>
                <w:rFonts w:ascii="宋体" w:eastAsia="宋体" w:hAnsi="宋体" w:hint="eastAsia"/>
                <w:color w:val="000000"/>
                <w:sz w:val="24"/>
                <w:szCs w:val="24"/>
              </w:rPr>
              <w:t>冲桩</w:t>
            </w:r>
            <w:proofErr w:type="gramStart"/>
            <w:r w:rsidRPr="00560A9F">
              <w:rPr>
                <w:rFonts w:ascii="宋体" w:eastAsia="宋体" w:hAnsi="宋体" w:hint="eastAsia"/>
                <w:color w:val="000000"/>
                <w:sz w:val="24"/>
                <w:szCs w:val="24"/>
              </w:rPr>
              <w:t>桩</w:t>
            </w:r>
            <w:proofErr w:type="gramEnd"/>
            <w:r w:rsidRPr="00560A9F">
              <w:rPr>
                <w:rFonts w:ascii="宋体" w:eastAsia="宋体" w:hAnsi="宋体" w:hint="eastAsia"/>
                <w:color w:val="000000"/>
                <w:sz w:val="24"/>
                <w:szCs w:val="24"/>
              </w:rPr>
              <w:t>体质量</w:t>
            </w:r>
          </w:p>
        </w:tc>
        <w:tc>
          <w:tcPr>
            <w:tcW w:w="2323" w:type="dxa"/>
            <w:gridSpan w:val="2"/>
            <w:vMerge w:val="restart"/>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圆锥动力触探试验或单桩载荷试验</w:t>
            </w:r>
          </w:p>
        </w:tc>
        <w:tc>
          <w:tcPr>
            <w:tcW w:w="7913"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r>
      <w:tr w:rsidR="00553FF9" w:rsidRPr="00560A9F" w:rsidTr="003E12C3">
        <w:trPr>
          <w:cantSplit/>
          <w:trHeight w:val="85"/>
          <w:jc w:val="center"/>
        </w:trPr>
        <w:tc>
          <w:tcPr>
            <w:tcW w:w="1257" w:type="dxa"/>
            <w:vMerge/>
            <w:vAlign w:val="center"/>
          </w:tcPr>
          <w:p w:rsidR="00553FF9" w:rsidRPr="00560A9F" w:rsidRDefault="00553FF9" w:rsidP="003E12C3">
            <w:pPr>
              <w:spacing w:line="480" w:lineRule="auto"/>
              <w:rPr>
                <w:rFonts w:ascii="宋体" w:eastAsia="宋体" w:hAnsi="宋体"/>
                <w:color w:val="000000"/>
                <w:sz w:val="24"/>
                <w:szCs w:val="24"/>
              </w:rPr>
            </w:pP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砂石桩桩体质量</w:t>
            </w:r>
          </w:p>
        </w:tc>
        <w:tc>
          <w:tcPr>
            <w:tcW w:w="2323"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c>
          <w:tcPr>
            <w:tcW w:w="7913"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r>
      <w:tr w:rsidR="00553FF9" w:rsidRPr="00560A9F" w:rsidTr="003E12C3">
        <w:trPr>
          <w:cantSplit/>
          <w:trHeight w:val="85"/>
          <w:jc w:val="center"/>
        </w:trPr>
        <w:tc>
          <w:tcPr>
            <w:tcW w:w="1257" w:type="dxa"/>
            <w:vMerge/>
            <w:vAlign w:val="center"/>
          </w:tcPr>
          <w:p w:rsidR="00553FF9" w:rsidRPr="00560A9F" w:rsidRDefault="00553FF9" w:rsidP="003E12C3">
            <w:pPr>
              <w:spacing w:line="480" w:lineRule="auto"/>
              <w:rPr>
                <w:rFonts w:ascii="宋体" w:eastAsia="宋体" w:hAnsi="宋体"/>
                <w:color w:val="000000"/>
                <w:sz w:val="24"/>
                <w:szCs w:val="24"/>
              </w:rPr>
            </w:pP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强夯置换地基质量</w:t>
            </w:r>
          </w:p>
        </w:tc>
        <w:tc>
          <w:tcPr>
            <w:tcW w:w="232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圆锥动力触探试验等</w:t>
            </w:r>
          </w:p>
        </w:tc>
        <w:tc>
          <w:tcPr>
            <w:tcW w:w="7913" w:type="dxa"/>
            <w:gridSpan w:val="2"/>
            <w:vMerge/>
            <w:vAlign w:val="center"/>
          </w:tcPr>
          <w:p w:rsidR="00553FF9" w:rsidRPr="00560A9F" w:rsidRDefault="00553FF9" w:rsidP="003E12C3">
            <w:pPr>
              <w:spacing w:line="480" w:lineRule="auto"/>
              <w:rPr>
                <w:rFonts w:ascii="宋体" w:eastAsia="宋体" w:hAnsi="宋体"/>
                <w:color w:val="000000"/>
                <w:sz w:val="24"/>
                <w:szCs w:val="24"/>
              </w:rPr>
            </w:pPr>
          </w:p>
        </w:tc>
      </w:tr>
      <w:tr w:rsidR="00553FF9" w:rsidRPr="00560A9F" w:rsidTr="003E12C3">
        <w:trPr>
          <w:cantSplit/>
          <w:trHeight w:val="40"/>
          <w:jc w:val="center"/>
        </w:trPr>
        <w:tc>
          <w:tcPr>
            <w:tcW w:w="1257" w:type="dxa"/>
            <w:vMerge/>
            <w:vAlign w:val="center"/>
          </w:tcPr>
          <w:p w:rsidR="00553FF9" w:rsidRPr="00560A9F" w:rsidRDefault="00553FF9" w:rsidP="003E12C3">
            <w:pPr>
              <w:spacing w:line="480" w:lineRule="auto"/>
              <w:rPr>
                <w:rFonts w:ascii="宋体" w:eastAsia="宋体" w:hAnsi="宋体"/>
                <w:color w:val="000000"/>
                <w:sz w:val="24"/>
                <w:szCs w:val="24"/>
              </w:rPr>
            </w:pP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水泥粉煤灰碎石桩质量</w:t>
            </w:r>
          </w:p>
        </w:tc>
        <w:tc>
          <w:tcPr>
            <w:tcW w:w="232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低应变法或</w:t>
            </w:r>
            <w:proofErr w:type="gramStart"/>
            <w:r w:rsidRPr="00560A9F">
              <w:rPr>
                <w:rFonts w:ascii="宋体" w:eastAsia="宋体" w:hAnsi="宋体" w:hint="eastAsia"/>
                <w:color w:val="000000"/>
                <w:sz w:val="24"/>
                <w:szCs w:val="24"/>
              </w:rPr>
              <w:t>钻芯法</w:t>
            </w:r>
            <w:proofErr w:type="gramEnd"/>
          </w:p>
        </w:tc>
        <w:tc>
          <w:tcPr>
            <w:tcW w:w="791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采用低应变法的，抽检数量不应少于总桩数的10%。</w:t>
            </w:r>
          </w:p>
        </w:tc>
      </w:tr>
      <w:tr w:rsidR="00553FF9" w:rsidRPr="00560A9F" w:rsidTr="003E12C3">
        <w:trPr>
          <w:cantSplit/>
          <w:trHeight w:val="85"/>
          <w:jc w:val="center"/>
        </w:trPr>
        <w:tc>
          <w:tcPr>
            <w:tcW w:w="1257" w:type="dxa"/>
            <w:vMerge/>
            <w:vAlign w:val="center"/>
          </w:tcPr>
          <w:p w:rsidR="00553FF9" w:rsidRPr="00560A9F" w:rsidRDefault="00553FF9" w:rsidP="003E12C3">
            <w:pPr>
              <w:spacing w:line="480" w:lineRule="auto"/>
              <w:rPr>
                <w:rFonts w:ascii="宋体" w:eastAsia="宋体" w:hAnsi="宋体"/>
                <w:color w:val="000000"/>
                <w:sz w:val="24"/>
                <w:szCs w:val="24"/>
              </w:rPr>
            </w:pPr>
          </w:p>
        </w:tc>
        <w:tc>
          <w:tcPr>
            <w:tcW w:w="2987" w:type="dxa"/>
            <w:gridSpan w:val="3"/>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承载力</w:t>
            </w:r>
          </w:p>
        </w:tc>
        <w:tc>
          <w:tcPr>
            <w:tcW w:w="232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平板载荷试验</w:t>
            </w:r>
          </w:p>
        </w:tc>
        <w:tc>
          <w:tcPr>
            <w:tcW w:w="7913" w:type="dxa"/>
            <w:gridSpan w:val="2"/>
            <w:vAlign w:val="center"/>
          </w:tcPr>
          <w:p w:rsidR="00553FF9" w:rsidRPr="00560A9F" w:rsidRDefault="00553FF9" w:rsidP="003E12C3">
            <w:pPr>
              <w:spacing w:line="480" w:lineRule="auto"/>
              <w:rPr>
                <w:rFonts w:ascii="宋体" w:eastAsia="宋体" w:hAnsi="宋体"/>
                <w:color w:val="000000"/>
                <w:sz w:val="24"/>
                <w:szCs w:val="24"/>
              </w:rPr>
            </w:pPr>
            <w:r w:rsidRPr="00560A9F">
              <w:rPr>
                <w:rFonts w:ascii="宋体" w:eastAsia="宋体" w:hAnsi="宋体" w:hint="eastAsia"/>
                <w:color w:val="000000"/>
                <w:sz w:val="24"/>
                <w:szCs w:val="24"/>
              </w:rPr>
              <w:t>抽检数量不应少于总桩（墩）数的0.5%，且不得少于3点；可选择多桩（墩）复合地基平板载荷试验或单桩（墩）复合地基平板载荷试验，也可一部分试验点选择多桩（墩）复合地基平板载荷试验而另一部分试验点选择单桩（墩）复合地基平板载荷试验，但试验点的总数不得低于总桩（墩）数的0.5%，且不得少于3点；对不同布</w:t>
            </w:r>
            <w:proofErr w:type="gramStart"/>
            <w:r w:rsidRPr="00560A9F">
              <w:rPr>
                <w:rFonts w:ascii="宋体" w:eastAsia="宋体" w:hAnsi="宋体" w:hint="eastAsia"/>
                <w:color w:val="000000"/>
                <w:sz w:val="24"/>
                <w:szCs w:val="24"/>
              </w:rPr>
              <w:t>桩形式</w:t>
            </w:r>
            <w:proofErr w:type="gramEnd"/>
            <w:r w:rsidRPr="00560A9F">
              <w:rPr>
                <w:rFonts w:ascii="宋体" w:eastAsia="宋体" w:hAnsi="宋体" w:hint="eastAsia"/>
                <w:color w:val="000000"/>
                <w:sz w:val="24"/>
                <w:szCs w:val="24"/>
              </w:rPr>
              <w:t>或有不同承载力设计要求的各处地基均应进行抽检。</w:t>
            </w:r>
          </w:p>
        </w:tc>
      </w:tr>
    </w:tbl>
    <w:p w:rsidR="00553FF9" w:rsidRPr="00560A9F" w:rsidRDefault="00553FF9" w:rsidP="00553FF9">
      <w:pPr>
        <w:pStyle w:val="a5"/>
        <w:spacing w:before="0" w:beforeAutospacing="0" w:after="0" w:afterAutospacing="0" w:line="480" w:lineRule="auto"/>
        <w:jc w:val="both"/>
      </w:pPr>
      <w:r w:rsidRPr="00560A9F">
        <w:rPr>
          <w:rFonts w:hint="eastAsia"/>
        </w:rPr>
        <w:t>注：本表规定的检测数量均是按单位工程</w:t>
      </w:r>
      <w:proofErr w:type="gramStart"/>
      <w:r w:rsidRPr="00560A9F">
        <w:rPr>
          <w:rFonts w:hint="eastAsia"/>
        </w:rPr>
        <w:t>作出</w:t>
      </w:r>
      <w:proofErr w:type="gramEnd"/>
      <w:r w:rsidRPr="00560A9F">
        <w:rPr>
          <w:rFonts w:hint="eastAsia"/>
        </w:rPr>
        <w:t>要求。</w:t>
      </w:r>
      <w:r w:rsidRPr="00560A9F">
        <w:rPr>
          <w:rFonts w:hint="eastAsia"/>
          <w:spacing w:val="6"/>
        </w:rPr>
        <w:t>“基桩自平衡法静载荷试验”不具随机性，其结果不作为该批工程桩承载力验收的依据。</w:t>
      </w:r>
      <w:r w:rsidRPr="00560A9F">
        <w:rPr>
          <w:rFonts w:hint="eastAsia"/>
        </w:rPr>
        <w:t>结构实体质量监督抽测的方法和数量可计算在内。</w:t>
      </w:r>
    </w:p>
    <w:p w:rsidR="00553FF9" w:rsidRPr="00CE0E21" w:rsidRDefault="00553FF9" w:rsidP="00553FF9"/>
    <w:p w:rsidR="00553FF9" w:rsidRPr="00553FF9" w:rsidRDefault="00553FF9"/>
    <w:sectPr w:rsidR="00553FF9" w:rsidRPr="00553FF9" w:rsidSect="00553FF9">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905" w:rsidRDefault="00DB7905" w:rsidP="00B87266">
      <w:r>
        <w:separator/>
      </w:r>
    </w:p>
  </w:endnote>
  <w:endnote w:type="continuationSeparator" w:id="1">
    <w:p w:rsidR="00DB7905" w:rsidRDefault="00DB7905" w:rsidP="00B87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905" w:rsidRDefault="00DB7905" w:rsidP="00B87266">
      <w:r>
        <w:separator/>
      </w:r>
    </w:p>
  </w:footnote>
  <w:footnote w:type="continuationSeparator" w:id="1">
    <w:p w:rsidR="00DB7905" w:rsidRDefault="00DB7905" w:rsidP="00B87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7266"/>
    <w:rsid w:val="00196169"/>
    <w:rsid w:val="002731C6"/>
    <w:rsid w:val="002B5DC7"/>
    <w:rsid w:val="0043200E"/>
    <w:rsid w:val="00553FF9"/>
    <w:rsid w:val="00593AB4"/>
    <w:rsid w:val="007929CD"/>
    <w:rsid w:val="00B87266"/>
    <w:rsid w:val="00CF538B"/>
    <w:rsid w:val="00DB7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7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7266"/>
    <w:rPr>
      <w:sz w:val="18"/>
      <w:szCs w:val="18"/>
    </w:rPr>
  </w:style>
  <w:style w:type="paragraph" w:styleId="a4">
    <w:name w:val="footer"/>
    <w:basedOn w:val="a"/>
    <w:link w:val="Char0"/>
    <w:uiPriority w:val="99"/>
    <w:semiHidden/>
    <w:unhideWhenUsed/>
    <w:rsid w:val="00B872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7266"/>
    <w:rPr>
      <w:sz w:val="18"/>
      <w:szCs w:val="18"/>
    </w:rPr>
  </w:style>
  <w:style w:type="paragraph" w:styleId="a5">
    <w:name w:val="Normal (Web)"/>
    <w:basedOn w:val="a"/>
    <w:rsid w:val="00553FF9"/>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065878182">
      <w:bodyDiv w:val="1"/>
      <w:marLeft w:val="0"/>
      <w:marRight w:val="0"/>
      <w:marTop w:val="0"/>
      <w:marBottom w:val="0"/>
      <w:divBdr>
        <w:top w:val="none" w:sz="0" w:space="0" w:color="auto"/>
        <w:left w:val="none" w:sz="0" w:space="0" w:color="auto"/>
        <w:bottom w:val="none" w:sz="0" w:space="0" w:color="auto"/>
        <w:right w:val="none" w:sz="0" w:space="0" w:color="auto"/>
      </w:divBdr>
      <w:divsChild>
        <w:div w:id="1498571034">
          <w:marLeft w:val="0"/>
          <w:marRight w:val="0"/>
          <w:marTop w:val="0"/>
          <w:marBottom w:val="0"/>
          <w:divBdr>
            <w:top w:val="none" w:sz="0" w:space="0" w:color="auto"/>
            <w:left w:val="none" w:sz="0" w:space="0" w:color="auto"/>
            <w:bottom w:val="none" w:sz="0" w:space="0" w:color="auto"/>
            <w:right w:val="none" w:sz="0" w:space="0" w:color="auto"/>
          </w:divBdr>
          <w:divsChild>
            <w:div w:id="99112138">
              <w:marLeft w:val="0"/>
              <w:marRight w:val="0"/>
              <w:marTop w:val="0"/>
              <w:marBottom w:val="0"/>
              <w:divBdr>
                <w:top w:val="none" w:sz="0" w:space="0" w:color="auto"/>
                <w:left w:val="none" w:sz="0" w:space="0" w:color="auto"/>
                <w:bottom w:val="none" w:sz="0" w:space="0" w:color="auto"/>
                <w:right w:val="none" w:sz="0" w:space="0" w:color="auto"/>
              </w:divBdr>
              <w:divsChild>
                <w:div w:id="2133547935">
                  <w:marLeft w:val="0"/>
                  <w:marRight w:val="0"/>
                  <w:marTop w:val="0"/>
                  <w:marBottom w:val="0"/>
                  <w:divBdr>
                    <w:top w:val="none" w:sz="0" w:space="0" w:color="auto"/>
                    <w:left w:val="none" w:sz="0" w:space="0" w:color="auto"/>
                    <w:bottom w:val="none" w:sz="0" w:space="0" w:color="auto"/>
                    <w:right w:val="none" w:sz="0" w:space="0" w:color="auto"/>
                  </w:divBdr>
                  <w:divsChild>
                    <w:div w:id="1698386816">
                      <w:marLeft w:val="0"/>
                      <w:marRight w:val="0"/>
                      <w:marTop w:val="0"/>
                      <w:marBottom w:val="390"/>
                      <w:divBdr>
                        <w:top w:val="single" w:sz="24" w:space="23" w:color="BA1010"/>
                        <w:left w:val="single" w:sz="6" w:space="23" w:color="EBEBEB"/>
                        <w:bottom w:val="single" w:sz="6" w:space="0" w:color="EBEBEB"/>
                        <w:right w:val="single" w:sz="6" w:space="23" w:color="EBEBEB"/>
                      </w:divBdr>
                      <w:divsChild>
                        <w:div w:id="1563444815">
                          <w:marLeft w:val="0"/>
                          <w:marRight w:val="0"/>
                          <w:marTop w:val="0"/>
                          <w:marBottom w:val="0"/>
                          <w:divBdr>
                            <w:top w:val="none" w:sz="0" w:space="0" w:color="auto"/>
                            <w:left w:val="none" w:sz="0" w:space="0" w:color="auto"/>
                            <w:bottom w:val="none" w:sz="0" w:space="0" w:color="auto"/>
                            <w:right w:val="none" w:sz="0" w:space="0" w:color="auto"/>
                          </w:divBdr>
                          <w:divsChild>
                            <w:div w:id="2145654294">
                              <w:marLeft w:val="0"/>
                              <w:marRight w:val="0"/>
                              <w:marTop w:val="0"/>
                              <w:marBottom w:val="0"/>
                              <w:divBdr>
                                <w:top w:val="none" w:sz="0" w:space="0" w:color="auto"/>
                                <w:left w:val="none" w:sz="0" w:space="0" w:color="auto"/>
                                <w:bottom w:val="none" w:sz="0" w:space="0" w:color="auto"/>
                                <w:right w:val="none" w:sz="0" w:space="0" w:color="auto"/>
                              </w:divBdr>
                              <w:divsChild>
                                <w:div w:id="11722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800</Words>
  <Characters>4562</Characters>
  <Application>Microsoft Office Word</Application>
  <DocSecurity>4</DocSecurity>
  <Lines>38</Lines>
  <Paragraphs>10</Paragraphs>
  <ScaleCrop>false</ScaleCrop>
  <Company>微软中国</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黄照辉</dc:creator>
  <cp:lastModifiedBy>张志华</cp:lastModifiedBy>
  <cp:revision>2</cp:revision>
  <dcterms:created xsi:type="dcterms:W3CDTF">2020-07-17T08:03:00Z</dcterms:created>
  <dcterms:modified xsi:type="dcterms:W3CDTF">2020-07-17T08:03:00Z</dcterms:modified>
</cp:coreProperties>
</file>