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4317" w:type="dxa"/>
        <w:tblInd w:w="0" w:type="dxa"/>
        <w:tblLayout w:type="autofit"/>
        <w:tblCellMar>
          <w:top w:w="0" w:type="dxa"/>
          <w:left w:w="108" w:type="dxa"/>
          <w:bottom w:w="0" w:type="dxa"/>
          <w:right w:w="108" w:type="dxa"/>
        </w:tblCellMar>
      </w:tblPr>
      <w:tblGrid>
        <w:gridCol w:w="851"/>
        <w:gridCol w:w="2693"/>
        <w:gridCol w:w="4111"/>
        <w:gridCol w:w="1417"/>
        <w:gridCol w:w="5245"/>
      </w:tblGrid>
      <w:tr>
        <w:tblPrEx>
          <w:tblCellMar>
            <w:top w:w="0" w:type="dxa"/>
            <w:left w:w="108" w:type="dxa"/>
            <w:bottom w:w="0" w:type="dxa"/>
            <w:right w:w="108" w:type="dxa"/>
          </w:tblCellMar>
        </w:tblPrEx>
        <w:trPr>
          <w:trHeight w:val="960" w:hRule="atLeast"/>
        </w:trPr>
        <w:tc>
          <w:tcPr>
            <w:tcW w:w="14317" w:type="dxa"/>
            <w:gridSpan w:val="5"/>
            <w:tcBorders>
              <w:top w:val="nil"/>
              <w:left w:val="nil"/>
              <w:bottom w:val="nil"/>
              <w:right w:val="nil"/>
            </w:tcBorders>
            <w:shd w:val="clear" w:color="auto" w:fill="auto"/>
            <w:vAlign w:val="center"/>
          </w:tcPr>
          <w:p>
            <w:pPr>
              <w:widowControl/>
              <w:spacing w:line="560" w:lineRule="exact"/>
              <w:jc w:val="left"/>
              <w:rPr>
                <w:rFonts w:ascii="黑体" w:hAnsi="黑体" w:eastAsia="黑体" w:cs="宋体"/>
                <w:bCs/>
                <w:color w:val="000000"/>
                <w:kern w:val="0"/>
                <w:sz w:val="32"/>
                <w:szCs w:val="32"/>
              </w:rPr>
            </w:pPr>
            <w:r>
              <w:rPr>
                <w:rFonts w:ascii="黑体" w:hAnsi="黑体" w:eastAsia="黑体" w:cs="宋体"/>
                <w:bCs/>
                <w:color w:val="000000"/>
                <w:kern w:val="0"/>
                <w:sz w:val="32"/>
                <w:szCs w:val="32"/>
              </w:rPr>
              <w:t>附件</w:t>
            </w:r>
            <w:bookmarkStart w:id="0" w:name="_GoBack"/>
            <w:bookmarkEnd w:id="0"/>
          </w:p>
          <w:p>
            <w:pPr>
              <w:widowControl/>
              <w:spacing w:line="560" w:lineRule="exact"/>
              <w:jc w:val="center"/>
              <w:rPr>
                <w:rFonts w:ascii="方正小标宋简体" w:hAnsi="宋体" w:eastAsia="方正小标宋简体" w:cs="宋体"/>
                <w:b/>
                <w:bCs/>
                <w:color w:val="000000"/>
                <w:kern w:val="0"/>
                <w:sz w:val="44"/>
                <w:szCs w:val="44"/>
              </w:rPr>
            </w:pPr>
            <w:r>
              <w:rPr>
                <w:rFonts w:hint="eastAsia" w:ascii="方正小标宋简体" w:hAnsi="宋体" w:eastAsia="方正小标宋简体" w:cs="宋体"/>
                <w:b/>
                <w:bCs/>
                <w:color w:val="000000"/>
                <w:kern w:val="0"/>
                <w:sz w:val="44"/>
                <w:szCs w:val="44"/>
              </w:rPr>
              <w:t>《广州市城市照明专项规划（2021-2035年）》公众意见采纳情况表</w:t>
            </w:r>
          </w:p>
        </w:tc>
      </w:tr>
      <w:tr>
        <w:tblPrEx>
          <w:tblCellMar>
            <w:top w:w="0" w:type="dxa"/>
            <w:left w:w="108" w:type="dxa"/>
            <w:bottom w:w="0" w:type="dxa"/>
            <w:right w:w="108" w:type="dxa"/>
          </w:tblCellMar>
        </w:tblPrEx>
        <w:trPr>
          <w:trHeight w:val="619"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序号</w:t>
            </w:r>
          </w:p>
        </w:tc>
        <w:tc>
          <w:tcPr>
            <w:tcW w:w="26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联系人及联系方式</w:t>
            </w:r>
          </w:p>
        </w:tc>
        <w:tc>
          <w:tcPr>
            <w:tcW w:w="4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意见</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采纳情况</w:t>
            </w:r>
          </w:p>
        </w:tc>
        <w:tc>
          <w:tcPr>
            <w:tcW w:w="52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备注说明</w:t>
            </w:r>
          </w:p>
        </w:tc>
      </w:tr>
      <w:tr>
        <w:tblPrEx>
          <w:tblCellMar>
            <w:top w:w="0" w:type="dxa"/>
            <w:left w:w="108" w:type="dxa"/>
            <w:bottom w:w="0" w:type="dxa"/>
            <w:right w:w="108" w:type="dxa"/>
          </w:tblCellMar>
        </w:tblPrEx>
        <w:trPr>
          <w:trHeight w:val="893"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林先生</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38937****@qq.com</w:t>
            </w:r>
          </w:p>
        </w:tc>
        <w:tc>
          <w:tcPr>
            <w:tcW w:w="411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文本最后的所有效果图均未附上，无法详细了解规划的情况，请补充提供。</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采纳</w:t>
            </w:r>
          </w:p>
        </w:tc>
        <w:tc>
          <w:tcPr>
            <w:tcW w:w="524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后续成果将文本与图集合并装订</w:t>
            </w:r>
          </w:p>
        </w:tc>
      </w:tr>
      <w:tr>
        <w:tblPrEx>
          <w:tblCellMar>
            <w:top w:w="0" w:type="dxa"/>
            <w:left w:w="108" w:type="dxa"/>
            <w:bottom w:w="0" w:type="dxa"/>
            <w:right w:w="108" w:type="dxa"/>
          </w:tblCellMar>
        </w:tblPrEx>
        <w:trPr>
          <w:trHeight w:val="893"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黄先生</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45557****@qq.com</w:t>
            </w:r>
          </w:p>
        </w:tc>
        <w:tc>
          <w:tcPr>
            <w:tcW w:w="411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对于广州的照明专项规划设计，有没有考虑到一些建设维护的风险因素，如城市内涝、极端天气对公共照明安全性的问题。公共照明后期维护的一些计划和维护更新，有没有具体的指导性纲要。照明灯具使用的报废期，报废流程、环保回收等问题能否具体阐述一下。</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采纳</w:t>
            </w:r>
          </w:p>
        </w:tc>
        <w:tc>
          <w:tcPr>
            <w:tcW w:w="524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对于灯具后期维护的风险因素以及维护更新标准等内容，广州已具有成熟的“1+9”管理体系与管理流程，规划已充分考虑此方面内容，并在文本第十章规划实施与保障措施章节中强调后续的维护管理工作应严格遵守已有规定并补充完善更新管理规定；照明灯具的报废流程在文本第七章第四节全生命周期绿色控制部分已有相关内容，结合现阶段低碳、环保、节能的导向，建议后续出台完善的翻新细则与回收制度，同时属于国有资产的，应按照《国有资产管理办法》执行。</w:t>
            </w:r>
          </w:p>
        </w:tc>
      </w:tr>
      <w:tr>
        <w:tblPrEx>
          <w:tblCellMar>
            <w:top w:w="0" w:type="dxa"/>
            <w:left w:w="108" w:type="dxa"/>
            <w:bottom w:w="0" w:type="dxa"/>
            <w:right w:w="108" w:type="dxa"/>
          </w:tblCellMar>
        </w:tblPrEx>
        <w:trPr>
          <w:trHeight w:val="893"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陈**</w:t>
            </w:r>
            <w:r>
              <w:rPr>
                <w:rFonts w:hint="eastAsia" w:ascii="仿宋_GB2312" w:hAnsi="宋体" w:eastAsia="仿宋_GB2312" w:cs="宋体"/>
                <w:color w:val="000000"/>
                <w:kern w:val="0"/>
                <w:sz w:val="24"/>
                <w:szCs w:val="24"/>
              </w:rPr>
              <w:br w:type="textWrapping"/>
            </w:r>
            <w:r>
              <w:rPr>
                <w:rFonts w:hint="eastAsia" w:ascii="仿宋_GB2312" w:hAnsi="宋体" w:eastAsia="仿宋_GB2312" w:cs="宋体"/>
                <w:color w:val="000000"/>
                <w:kern w:val="0"/>
                <w:sz w:val="24"/>
                <w:szCs w:val="24"/>
              </w:rPr>
              <w:t>59469****@qq.com</w:t>
            </w:r>
          </w:p>
        </w:tc>
        <w:tc>
          <w:tcPr>
            <w:tcW w:w="411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建议减少在树上装灯</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采纳</w:t>
            </w:r>
          </w:p>
        </w:tc>
        <w:tc>
          <w:tcPr>
            <w:tcW w:w="524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本次规划在景观照明方面已基本杜绝在树上装灯这种照明方式，对于临时性的灯具也提出了相应的禁止性要求，详见文本第五章城市景观照明总体规划第二节要素指引</w:t>
            </w:r>
          </w:p>
        </w:tc>
      </w:tr>
      <w:tr>
        <w:tblPrEx>
          <w:tblCellMar>
            <w:top w:w="0" w:type="dxa"/>
            <w:left w:w="108" w:type="dxa"/>
            <w:bottom w:w="0" w:type="dxa"/>
            <w:right w:w="108" w:type="dxa"/>
          </w:tblCellMar>
        </w:tblPrEx>
        <w:trPr>
          <w:trHeight w:val="126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1800224****</w:t>
            </w:r>
          </w:p>
        </w:tc>
        <w:tc>
          <w:tcPr>
            <w:tcW w:w="411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规划先行，对广州政府坚持科学制规的行为点赞，同时，建议对此规划再进一步强化规划法治力和执行力、强化规划监督检查、强化责任追究就完美了。</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采纳</w:t>
            </w:r>
          </w:p>
        </w:tc>
        <w:tc>
          <w:tcPr>
            <w:tcW w:w="524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已按照意见调整相关内容，详见文本第十章规划实施与保障措施</w:t>
            </w:r>
          </w:p>
        </w:tc>
      </w:tr>
    </w:tbl>
    <w:p>
      <w:pPr>
        <w:ind w:firstLine="646" w:firstLineChars="202"/>
        <w:jc w:val="right"/>
        <w:rPr>
          <w:rFonts w:ascii="仿宋_GB2312" w:eastAsia="仿宋_GB2312"/>
          <w:color w:val="000000"/>
          <w:sz w:val="32"/>
          <w:szCs w:val="32"/>
          <w:shd w:val="clear" w:color="auto" w:fill="FFFFFF"/>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圆B5"/>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 w:name="方正小标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汉仪仿宋S">
    <w:panose1 w:val="00020600040101000101"/>
    <w:charset w:val="86"/>
    <w:family w:val="auto"/>
    <w:pitch w:val="default"/>
    <w:sig w:usb0="A00002BF" w:usb1="38CF7CFA" w:usb2="00000016" w:usb3="00000000" w:csb0="0004009F"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DejaVu San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trackRevisions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0C7"/>
    <w:rsid w:val="000C2AAB"/>
    <w:rsid w:val="001010CE"/>
    <w:rsid w:val="00133813"/>
    <w:rsid w:val="002A560A"/>
    <w:rsid w:val="00317023"/>
    <w:rsid w:val="00352FE0"/>
    <w:rsid w:val="00465E73"/>
    <w:rsid w:val="00470896"/>
    <w:rsid w:val="005157D4"/>
    <w:rsid w:val="00553D77"/>
    <w:rsid w:val="006C20C7"/>
    <w:rsid w:val="00796BD3"/>
    <w:rsid w:val="00841A87"/>
    <w:rsid w:val="00945372"/>
    <w:rsid w:val="00965111"/>
    <w:rsid w:val="00B05739"/>
    <w:rsid w:val="00D3655F"/>
    <w:rsid w:val="00EA2632"/>
    <w:rsid w:val="FDE1EA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158</Words>
  <Characters>906</Characters>
  <Lines>7</Lines>
  <Paragraphs>2</Paragraphs>
  <TotalTime>13</TotalTime>
  <ScaleCrop>false</ScaleCrop>
  <LinksUpToDate>false</LinksUpToDate>
  <CharactersWithSpaces>1062</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2022-04-26T16:43:00Z</dcterms:created>
  <dc:creator>范晓龙</dc:creator>
  <cp:lastModifiedBy>ht706</cp:lastModifiedBy>
  <cp:lastPrinted>2022-04-26T10:27:00Z</cp:lastPrinted>
  <dcterms:modified xsi:type="dcterms:W3CDTF">2022-05-06T12:46:25Z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ies>
</file>