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540" w:lineRule="exact"/>
        <w:jc w:val="left"/>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附件</w:t>
      </w:r>
    </w:p>
    <w:p>
      <w:pPr>
        <w:pStyle w:val="9"/>
        <w:snapToGrid w:val="0"/>
        <w:spacing w:line="540" w:lineRule="exact"/>
        <w:jc w:val="left"/>
        <w:rPr>
          <w:rFonts w:hint="eastAsia" w:ascii="方正黑体_GBK" w:hAnsi="方正黑体_GBK" w:eastAsia="方正黑体_GBK" w:cs="方正黑体_GBK"/>
          <w:color w:val="auto"/>
          <w:kern w:val="0"/>
          <w:sz w:val="32"/>
          <w:szCs w:val="32"/>
          <w:lang w:eastAsia="zh-CN"/>
        </w:rPr>
      </w:pPr>
    </w:p>
    <w:p>
      <w:pPr>
        <w:pStyle w:val="9"/>
        <w:snapToGrid w:val="0"/>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kern w:val="0"/>
          <w:sz w:val="44"/>
          <w:szCs w:val="22"/>
        </w:rPr>
        <w:t>《</w:t>
      </w:r>
      <w:r>
        <w:rPr>
          <w:rFonts w:hint="eastAsia" w:ascii="方正小标宋简体" w:hAnsi="方正小标宋简体" w:eastAsia="方正小标宋简体" w:cs="方正小标宋简体"/>
          <w:sz w:val="44"/>
          <w:szCs w:val="44"/>
        </w:rPr>
        <w:t>广州市绿色建筑和建筑节能管理规定</w:t>
      </w:r>
      <w:r>
        <w:rPr>
          <w:rFonts w:hint="eastAsia" w:ascii="方正小标宋简体" w:hAnsi="方正小标宋简体" w:eastAsia="方正小标宋简体" w:cs="方正小标宋简体"/>
          <w:sz w:val="44"/>
          <w:szCs w:val="44"/>
          <w:lang w:eastAsia="zh-CN"/>
        </w:rPr>
        <w:t>（草案注释征求意见稿）</w:t>
      </w:r>
      <w:r>
        <w:rPr>
          <w:rFonts w:hint="eastAsia" w:ascii="方正小标宋简体" w:hAnsi="方正小标宋简体" w:eastAsia="方正小标宋简体" w:cs="方正小标宋简体"/>
          <w:sz w:val="44"/>
          <w:szCs w:val="44"/>
        </w:rPr>
        <w:t>》</w:t>
      </w:r>
    </w:p>
    <w:p>
      <w:pPr>
        <w:pStyle w:val="9"/>
        <w:snapToGrid w:val="0"/>
        <w:spacing w:line="540" w:lineRule="exact"/>
        <w:jc w:val="center"/>
        <w:rPr>
          <w:rFonts w:hint="eastAsia" w:ascii="方正小标宋简体" w:hAnsi="方正小标宋简体" w:eastAsia="方正小标宋简体" w:cs="方正小标宋简体"/>
          <w:color w:val="auto"/>
          <w:kern w:val="0"/>
          <w:sz w:val="44"/>
          <w:szCs w:val="22"/>
        </w:rPr>
      </w:pPr>
      <w:r>
        <w:rPr>
          <w:rFonts w:hint="eastAsia" w:ascii="方正小标宋简体" w:hAnsi="方正小标宋简体" w:eastAsia="方正小标宋简体" w:cs="方正小标宋简体"/>
          <w:sz w:val="44"/>
          <w:szCs w:val="44"/>
          <w:lang w:val="en-US" w:eastAsia="zh-CN"/>
        </w:rPr>
        <w:t>公众</w:t>
      </w:r>
      <w:r>
        <w:rPr>
          <w:rFonts w:hint="eastAsia" w:ascii="方正小标宋简体" w:hAnsi="方正小标宋简体" w:eastAsia="方正小标宋简体" w:cs="方正小标宋简体"/>
          <w:sz w:val="44"/>
          <w:szCs w:val="44"/>
        </w:rPr>
        <w:t>意见</w:t>
      </w:r>
      <w:r>
        <w:rPr>
          <w:rFonts w:hint="eastAsia" w:ascii="方正小标宋简体" w:hAnsi="方正小标宋简体" w:eastAsia="方正小标宋简体" w:cs="方正小标宋简体"/>
          <w:sz w:val="44"/>
          <w:szCs w:val="44"/>
          <w:lang w:eastAsia="zh-CN"/>
        </w:rPr>
        <w:t>采纳情况</w:t>
      </w:r>
      <w:r>
        <w:rPr>
          <w:rFonts w:hint="eastAsia" w:ascii="方正小标宋简体" w:hAnsi="方正小标宋简体" w:eastAsia="方正小标宋简体" w:cs="方正小标宋简体"/>
          <w:sz w:val="44"/>
          <w:szCs w:val="44"/>
        </w:rPr>
        <w:t>表</w:t>
      </w:r>
    </w:p>
    <w:p>
      <w:pPr>
        <w:pStyle w:val="9"/>
        <w:snapToGrid w:val="0"/>
        <w:spacing w:line="540" w:lineRule="exact"/>
        <w:jc w:val="center"/>
        <w:rPr>
          <w:rFonts w:hint="eastAsia" w:ascii="方正小标宋简体" w:hAnsi="方正小标宋简体" w:eastAsia="方正小标宋简体" w:cs="方正小标宋简体"/>
          <w:color w:val="auto"/>
          <w:kern w:val="0"/>
          <w:sz w:val="44"/>
          <w:szCs w:val="22"/>
        </w:rPr>
      </w:pPr>
    </w:p>
    <w:tbl>
      <w:tblPr>
        <w:tblStyle w:val="6"/>
        <w:tblW w:w="13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059"/>
        <w:gridCol w:w="3316"/>
        <w:gridCol w:w="5367"/>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1" w:type="dxa"/>
            <w:noWrap w:val="0"/>
            <w:vAlign w:val="center"/>
          </w:tcPr>
          <w:p>
            <w:pPr>
              <w:widowControl/>
              <w:snapToGrid w:val="0"/>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意见编号</w:t>
            </w:r>
          </w:p>
        </w:tc>
        <w:tc>
          <w:tcPr>
            <w:tcW w:w="1059" w:type="dxa"/>
            <w:noWrap w:val="0"/>
            <w:vAlign w:val="center"/>
          </w:tcPr>
          <w:p>
            <w:pPr>
              <w:widowControl/>
              <w:snapToGrid w:val="0"/>
              <w:jc w:val="center"/>
              <w:rPr>
                <w:rFonts w:hint="default" w:ascii="黑体" w:hAnsi="黑体" w:eastAsia="黑体" w:cs="黑体"/>
                <w:color w:val="auto"/>
                <w:sz w:val="24"/>
                <w:szCs w:val="20"/>
                <w:highlight w:val="none"/>
                <w:lang w:val="en-US" w:eastAsia="zh-CN"/>
              </w:rPr>
            </w:pPr>
            <w:r>
              <w:rPr>
                <w:rFonts w:hint="eastAsia" w:ascii="黑体" w:hAnsi="黑体" w:eastAsia="黑体" w:cs="黑体"/>
                <w:color w:val="auto"/>
                <w:sz w:val="24"/>
                <w:szCs w:val="20"/>
                <w:highlight w:val="none"/>
                <w:lang w:val="en-US" w:eastAsia="zh-CN"/>
              </w:rPr>
              <w:t>提出人</w:t>
            </w:r>
          </w:p>
        </w:tc>
        <w:tc>
          <w:tcPr>
            <w:tcW w:w="3316" w:type="dxa"/>
            <w:noWrap w:val="0"/>
            <w:vAlign w:val="center"/>
          </w:tcPr>
          <w:p>
            <w:pPr>
              <w:widowControl/>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原  文</w:t>
            </w:r>
          </w:p>
        </w:tc>
        <w:tc>
          <w:tcPr>
            <w:tcW w:w="5367" w:type="dxa"/>
            <w:noWrap w:val="0"/>
            <w:vAlign w:val="center"/>
          </w:tcPr>
          <w:p>
            <w:pPr>
              <w:widowControl/>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提出修改的意见和理由</w:t>
            </w:r>
          </w:p>
        </w:tc>
        <w:tc>
          <w:tcPr>
            <w:tcW w:w="3264" w:type="dxa"/>
            <w:noWrap w:val="0"/>
            <w:vAlign w:val="center"/>
          </w:tcPr>
          <w:p>
            <w:pPr>
              <w:widowControl/>
              <w:jc w:val="center"/>
              <w:rPr>
                <w:rFonts w:hint="eastAsia" w:ascii="黑体" w:hAnsi="黑体" w:eastAsia="黑体" w:cs="黑体"/>
                <w:color w:val="auto"/>
                <w:sz w:val="24"/>
                <w:szCs w:val="20"/>
                <w:highlight w:val="none"/>
                <w:lang w:eastAsia="zh-CN"/>
              </w:rPr>
            </w:pPr>
            <w:r>
              <w:rPr>
                <w:rFonts w:hint="eastAsia" w:ascii="黑体" w:hAnsi="黑体" w:eastAsia="黑体" w:cs="黑体"/>
                <w:color w:val="auto"/>
                <w:sz w:val="24"/>
                <w:szCs w:val="20"/>
                <w:highlight w:val="none"/>
              </w:rPr>
              <w:t>采纳</w:t>
            </w:r>
            <w:r>
              <w:rPr>
                <w:rFonts w:hint="eastAsia" w:ascii="黑体" w:hAnsi="黑体" w:eastAsia="黑体" w:cs="黑体"/>
                <w:color w:val="auto"/>
                <w:sz w:val="24"/>
                <w:szCs w:val="20"/>
                <w:highlight w:val="none"/>
                <w:lang w:eastAsia="zh-CN"/>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jc w:val="center"/>
        </w:trPr>
        <w:tc>
          <w:tcPr>
            <w:tcW w:w="811" w:type="dxa"/>
            <w:noWrap w:val="0"/>
            <w:vAlign w:val="center"/>
          </w:tcPr>
          <w:p>
            <w:pPr>
              <w:widowControl/>
              <w:snapToGrid w:val="0"/>
              <w:spacing w:line="240" w:lineRule="auto"/>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w:t>
            </w:r>
          </w:p>
        </w:tc>
        <w:tc>
          <w:tcPr>
            <w:tcW w:w="1059" w:type="dxa"/>
            <w:noWrap w:val="0"/>
            <w:vAlign w:val="center"/>
          </w:tcPr>
          <w:p>
            <w:pPr>
              <w:widowControl/>
              <w:snapToGrid w:val="0"/>
              <w:spacing w:line="240" w:lineRule="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冯女士</w:t>
            </w:r>
          </w:p>
        </w:tc>
        <w:tc>
          <w:tcPr>
            <w:tcW w:w="3316" w:type="dxa"/>
            <w:noWrap w:val="0"/>
            <w:vAlign w:val="center"/>
          </w:tcPr>
          <w:p>
            <w:pPr>
              <w:widowControl/>
              <w:snapToGrid w:val="0"/>
              <w:spacing w:line="240" w:lineRule="auto"/>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w:t>
            </w:r>
          </w:p>
        </w:tc>
        <w:tc>
          <w:tcPr>
            <w:tcW w:w="5367" w:type="dxa"/>
            <w:noWrap w:val="0"/>
            <w:vAlign w:val="center"/>
          </w:tcPr>
          <w:p>
            <w:pPr>
              <w:widowControl/>
              <w:snapToGrid w:val="0"/>
              <w:spacing w:line="240" w:lineRule="auto"/>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为提升项目质量，相应高质量发展的要求，建议增加绿色建筑项目预认证的相关要求。绿色建筑标识预认证工作能更有效调动相关行业技术专家的力量，发挥设计引领的作用，从源头提升绿色建筑设计质量。建议优化预认证相关流程，并与项目验收工作联动，充分发挥预认证工作的价值。此外，可充分发挥行业协会的作用，鼓励将预认证工作成果，作为行业设计人员、企业业绩的参考指标，将绿色建筑项目的预认证与绿色金融服务的开展相结合，通过绿色建筑项目标识的预认证工作全面推动绿色建筑发展。</w:t>
            </w:r>
          </w:p>
        </w:tc>
        <w:tc>
          <w:tcPr>
            <w:tcW w:w="3264" w:type="dxa"/>
            <w:noWrap w:val="0"/>
            <w:vAlign w:val="center"/>
          </w:tcPr>
          <w:p>
            <w:pPr>
              <w:pStyle w:val="2"/>
              <w:spacing w:line="240" w:lineRule="auto"/>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采纳。</w:t>
            </w:r>
            <w:r>
              <w:rPr>
                <w:rFonts w:hint="eastAsia" w:ascii="仿宋_GB2312" w:hAnsi="仿宋_GB2312" w:eastAsia="仿宋_GB2312" w:cs="仿宋_GB2312"/>
                <w:color w:val="auto"/>
                <w:sz w:val="24"/>
                <w:szCs w:val="24"/>
                <w:highlight w:val="none"/>
                <w:lang w:val="en-US" w:eastAsia="zh-CN"/>
              </w:rPr>
              <w:t>已增加预评价等认证制度的规定。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811" w:type="dxa"/>
            <w:noWrap w:val="0"/>
            <w:vAlign w:val="center"/>
          </w:tcPr>
          <w:p>
            <w:pPr>
              <w:widowControl/>
              <w:snapToGrid w:val="0"/>
              <w:spacing w:line="240" w:lineRule="auto"/>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w:t>
            </w:r>
          </w:p>
        </w:tc>
        <w:tc>
          <w:tcPr>
            <w:tcW w:w="1059" w:type="dxa"/>
            <w:noWrap w:val="0"/>
            <w:vAlign w:val="center"/>
          </w:tcPr>
          <w:p>
            <w:pPr>
              <w:widowControl/>
              <w:snapToGrid w:val="0"/>
              <w:spacing w:line="240" w:lineRule="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陈先生</w:t>
            </w:r>
          </w:p>
        </w:tc>
        <w:tc>
          <w:tcPr>
            <w:tcW w:w="3316" w:type="dxa"/>
            <w:noWrap w:val="0"/>
            <w:vAlign w:val="center"/>
          </w:tcPr>
          <w:p>
            <w:pPr>
              <w:widowControl/>
              <w:snapToGrid w:val="0"/>
              <w:spacing w:line="240" w:lineRule="auto"/>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第二十条【绿色建材】本市大力推广应用绿色建材，逐步提高绿色建材在绿色建筑中的使用比例。政府投资的民用建筑应当使用绿色建材。</w:t>
            </w:r>
          </w:p>
          <w:p>
            <w:pPr>
              <w:widowControl/>
              <w:snapToGrid w:val="0"/>
              <w:spacing w:line="240" w:lineRule="auto"/>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市工业和信息化、市市场监督管理、市住房城乡建设等行政管理部门应当按照各自职责加强对绿色建材生产、销售、使用等环节的监督管理。</w:t>
            </w:r>
          </w:p>
        </w:tc>
        <w:tc>
          <w:tcPr>
            <w:tcW w:w="5367" w:type="dxa"/>
            <w:noWrap w:val="0"/>
            <w:vAlign w:val="center"/>
          </w:tcPr>
          <w:p>
            <w:pPr>
              <w:widowControl/>
              <w:snapToGrid w:val="0"/>
              <w:spacing w:line="240" w:lineRule="auto"/>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建议第二十条【绿色建材】修改为：本市大力推广应用绿色建材，逐步提高绿色建材在绿色建筑中的使用比例，制定绿色建材推广应用实施方案。政府投资的民用建筑应当使用绿色建材，鼓励社会投资项目积极使用绿色建材。</w:t>
            </w:r>
          </w:p>
          <w:p>
            <w:pPr>
              <w:widowControl/>
              <w:snapToGrid w:val="0"/>
              <w:spacing w:line="24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市工业和信息化、市市场监督管理、市住房城乡建设等行政管理部门应当按照各自职责加强对绿色建材生产、认证、销售、使用等环节的监督管理。</w:t>
            </w:r>
          </w:p>
        </w:tc>
        <w:tc>
          <w:tcPr>
            <w:tcW w:w="3264" w:type="dxa"/>
            <w:noWrap w:val="0"/>
            <w:vAlign w:val="center"/>
          </w:tcPr>
          <w:p>
            <w:pPr>
              <w:widowControl/>
              <w:snapToGrid w:val="0"/>
              <w:spacing w:line="240" w:lineRule="auto"/>
              <w:ind w:firstLine="480" w:firstLineChars="200"/>
              <w:jc w:val="left"/>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采纳。本条第一款“本市大力推广应用绿色建材”即包含鼓励各种性质的建设项目积极使用绿色建材。本条第二款</w:t>
            </w:r>
            <w:r>
              <w:rPr>
                <w:rFonts w:hint="eastAsia" w:ascii="仿宋_GB2312" w:hAnsi="仿宋_GB2312" w:eastAsia="仿宋_GB2312" w:cs="仿宋_GB2312"/>
                <w:b w:val="0"/>
                <w:bCs w:val="0"/>
                <w:color w:val="auto"/>
                <w:kern w:val="0"/>
                <w:sz w:val="24"/>
                <w:szCs w:val="24"/>
                <w:highlight w:val="none"/>
                <w:lang w:val="en-US" w:eastAsia="zh-CN"/>
              </w:rPr>
              <w:t>“绿色建材生产、销售、使用等环节”已包含“认证”，故本条内容已包</w:t>
            </w:r>
            <w:r>
              <w:rPr>
                <w:rFonts w:hint="eastAsia" w:ascii="仿宋_GB2312" w:hAnsi="仿宋_GB2312" w:eastAsia="仿宋_GB2312" w:cs="仿宋_GB2312"/>
                <w:color w:val="auto"/>
                <w:kern w:val="0"/>
                <w:sz w:val="24"/>
                <w:szCs w:val="24"/>
                <w:highlight w:val="none"/>
                <w:lang w:val="en-US" w:eastAsia="zh-CN"/>
              </w:rPr>
              <w:t>含公众提出的意见内容。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1" w:type="dxa"/>
            <w:noWrap w:val="0"/>
            <w:vAlign w:val="center"/>
          </w:tcPr>
          <w:p>
            <w:pPr>
              <w:widowControl/>
              <w:snapToGrid w:val="0"/>
              <w:spacing w:line="240" w:lineRule="auto"/>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备注</w:t>
            </w:r>
          </w:p>
        </w:tc>
        <w:tc>
          <w:tcPr>
            <w:tcW w:w="13006"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公众</w:t>
            </w:r>
            <w:r>
              <w:rPr>
                <w:rFonts w:hint="eastAsia" w:ascii="仿宋_GB2312" w:hAnsi="仿宋_GB2312" w:eastAsia="仿宋_GB2312" w:cs="仿宋_GB2312"/>
                <w:b w:val="0"/>
                <w:bCs w:val="0"/>
                <w:color w:val="auto"/>
                <w:kern w:val="0"/>
                <w:sz w:val="24"/>
                <w:szCs w:val="24"/>
                <w:highlight w:val="none"/>
                <w:lang w:val="en-US" w:eastAsia="zh-CN" w:bidi="ar-SA"/>
              </w:rPr>
              <w:t>共提出修改意见2条，其中，我局予以采纳2条，部分采纳0条，不予采纳0条</w:t>
            </w:r>
            <w:r>
              <w:rPr>
                <w:rFonts w:hint="eastAsia" w:ascii="仿宋_GB2312" w:hAnsi="仿宋_GB2312" w:eastAsia="仿宋_GB2312" w:cs="仿宋_GB2312"/>
                <w:color w:val="auto"/>
                <w:sz w:val="24"/>
                <w:szCs w:val="24"/>
                <w:highlight w:val="none"/>
              </w:rPr>
              <w:t>。</w:t>
            </w:r>
          </w:p>
        </w:tc>
      </w:tr>
    </w:tbl>
    <w:p>
      <w:pPr>
        <w:numPr>
          <w:ilvl w:val="0"/>
          <w:numId w:val="0"/>
        </w:numPr>
        <w:rPr>
          <w:rFonts w:hint="default"/>
          <w:lang w:val="en-US" w:eastAsia="zh-CN"/>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2B0C57-7E93-47F0-AE25-3B34B857DE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embedRegular r:id="rId2" w:fontKey="{E404CD03-8B2A-4A47-994B-E3DE3135C0CE}"/>
  </w:font>
  <w:font w:name="方正小标宋简体">
    <w:altName w:val="Arial Unicode MS"/>
    <w:panose1 w:val="02000000000000000000"/>
    <w:charset w:val="86"/>
    <w:family w:val="auto"/>
    <w:pitch w:val="default"/>
    <w:sig w:usb0="00000000" w:usb1="00000000" w:usb2="00000012" w:usb3="00000000" w:csb0="00040001" w:csb1="00000000"/>
    <w:embedRegular r:id="rId3" w:fontKey="{A33FE7F3-2983-4AAA-B884-B19E32B3680C}"/>
  </w:font>
  <w:font w:name="仿宋_GB2312">
    <w:altName w:val="仿宋"/>
    <w:panose1 w:val="02010609030101010101"/>
    <w:charset w:val="86"/>
    <w:family w:val="auto"/>
    <w:pitch w:val="default"/>
    <w:sig w:usb0="00000000" w:usb1="00000000" w:usb2="00000000" w:usb3="00000000" w:csb0="00040000" w:csb1="00000000"/>
    <w:embedRegular r:id="rId4" w:fontKey="{2E6D15C4-6EAA-4402-AB25-D2E7C44E8C7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NGJhYzViNjM0YzA0Nzg2NWEzNzM4ZWFjOTMwZWYifQ=="/>
    <w:docVar w:name="KSO_WPS_MARK_KEY" w:val="37d9563a-1700-4de7-9a98-13cd22fd9fc4"/>
  </w:docVars>
  <w:rsids>
    <w:rsidRoot w:val="00172A27"/>
    <w:rsid w:val="03280EF8"/>
    <w:rsid w:val="037C3886"/>
    <w:rsid w:val="058C70BB"/>
    <w:rsid w:val="078B7CA7"/>
    <w:rsid w:val="08C43471"/>
    <w:rsid w:val="0AD16319"/>
    <w:rsid w:val="0B440899"/>
    <w:rsid w:val="0CF225EF"/>
    <w:rsid w:val="0DD04666"/>
    <w:rsid w:val="0F5B3003"/>
    <w:rsid w:val="0FFF3805"/>
    <w:rsid w:val="121F265B"/>
    <w:rsid w:val="12F421D3"/>
    <w:rsid w:val="131B1EB2"/>
    <w:rsid w:val="13FB1608"/>
    <w:rsid w:val="14DC497B"/>
    <w:rsid w:val="184B2B55"/>
    <w:rsid w:val="1905688E"/>
    <w:rsid w:val="19257F5C"/>
    <w:rsid w:val="192F2B88"/>
    <w:rsid w:val="19793E03"/>
    <w:rsid w:val="1D7C645D"/>
    <w:rsid w:val="1E85324A"/>
    <w:rsid w:val="1EE461C3"/>
    <w:rsid w:val="1FDBCE69"/>
    <w:rsid w:val="21FE1237"/>
    <w:rsid w:val="234A05BF"/>
    <w:rsid w:val="23FF688F"/>
    <w:rsid w:val="25F413E1"/>
    <w:rsid w:val="2693C44E"/>
    <w:rsid w:val="27721442"/>
    <w:rsid w:val="27CFD389"/>
    <w:rsid w:val="27D37AA7"/>
    <w:rsid w:val="296F6CA5"/>
    <w:rsid w:val="29A86EE6"/>
    <w:rsid w:val="2C6941AB"/>
    <w:rsid w:val="2E185C4D"/>
    <w:rsid w:val="2F266384"/>
    <w:rsid w:val="2FFFA0B5"/>
    <w:rsid w:val="302A0568"/>
    <w:rsid w:val="318E64AC"/>
    <w:rsid w:val="33FFE374"/>
    <w:rsid w:val="381336CA"/>
    <w:rsid w:val="396F2435"/>
    <w:rsid w:val="39BF45EC"/>
    <w:rsid w:val="3AB40CE8"/>
    <w:rsid w:val="3B820DE6"/>
    <w:rsid w:val="3C36601F"/>
    <w:rsid w:val="3CD660E6"/>
    <w:rsid w:val="3DFF7691"/>
    <w:rsid w:val="3FDF1E7B"/>
    <w:rsid w:val="43752B60"/>
    <w:rsid w:val="43FFB757"/>
    <w:rsid w:val="44A21BB1"/>
    <w:rsid w:val="47317E68"/>
    <w:rsid w:val="4B027AAC"/>
    <w:rsid w:val="4DCD3319"/>
    <w:rsid w:val="4E241889"/>
    <w:rsid w:val="4FC71278"/>
    <w:rsid w:val="4FF9593C"/>
    <w:rsid w:val="4FFF5A78"/>
    <w:rsid w:val="513212A7"/>
    <w:rsid w:val="528F3C31"/>
    <w:rsid w:val="52AB2085"/>
    <w:rsid w:val="554C1DF1"/>
    <w:rsid w:val="55D17D6A"/>
    <w:rsid w:val="55FB55C5"/>
    <w:rsid w:val="567A7499"/>
    <w:rsid w:val="57603931"/>
    <w:rsid w:val="579315CF"/>
    <w:rsid w:val="5B5714EF"/>
    <w:rsid w:val="5BAF661E"/>
    <w:rsid w:val="5BFDEDF9"/>
    <w:rsid w:val="5FD44656"/>
    <w:rsid w:val="5FD642CC"/>
    <w:rsid w:val="5FDA54F2"/>
    <w:rsid w:val="60A976D4"/>
    <w:rsid w:val="624B4453"/>
    <w:rsid w:val="627E3805"/>
    <w:rsid w:val="631B5982"/>
    <w:rsid w:val="63715118"/>
    <w:rsid w:val="64F72064"/>
    <w:rsid w:val="65406FB7"/>
    <w:rsid w:val="65AD19B3"/>
    <w:rsid w:val="662326FA"/>
    <w:rsid w:val="66C849EF"/>
    <w:rsid w:val="67BF8AEC"/>
    <w:rsid w:val="67D0065F"/>
    <w:rsid w:val="6A9A0E3F"/>
    <w:rsid w:val="6AE12B83"/>
    <w:rsid w:val="6B7C2964"/>
    <w:rsid w:val="6C8859AD"/>
    <w:rsid w:val="6E873A42"/>
    <w:rsid w:val="6F0D2199"/>
    <w:rsid w:val="6F871F4B"/>
    <w:rsid w:val="6FCEEAEC"/>
    <w:rsid w:val="73FDD54B"/>
    <w:rsid w:val="74F707A2"/>
    <w:rsid w:val="756E2946"/>
    <w:rsid w:val="75ED01EF"/>
    <w:rsid w:val="75F73276"/>
    <w:rsid w:val="769044E8"/>
    <w:rsid w:val="769413F2"/>
    <w:rsid w:val="772B9F6A"/>
    <w:rsid w:val="77C907E3"/>
    <w:rsid w:val="77F70D8D"/>
    <w:rsid w:val="78BF5139"/>
    <w:rsid w:val="793A7CC4"/>
    <w:rsid w:val="798F928F"/>
    <w:rsid w:val="79F4033F"/>
    <w:rsid w:val="7AAF33A5"/>
    <w:rsid w:val="7BAFA127"/>
    <w:rsid w:val="7BD707A7"/>
    <w:rsid w:val="7CB4489A"/>
    <w:rsid w:val="7DDFB960"/>
    <w:rsid w:val="7F9FEB78"/>
    <w:rsid w:val="7FCF15C3"/>
    <w:rsid w:val="7FDECBF9"/>
    <w:rsid w:val="7FFB2E4B"/>
    <w:rsid w:val="93BF229D"/>
    <w:rsid w:val="9EED26DD"/>
    <w:rsid w:val="9FDCC16E"/>
    <w:rsid w:val="A7CC8F55"/>
    <w:rsid w:val="B1C9BA41"/>
    <w:rsid w:val="B3FF975E"/>
    <w:rsid w:val="BBB77FF4"/>
    <w:rsid w:val="BCFF975D"/>
    <w:rsid w:val="BDF9DE6F"/>
    <w:rsid w:val="BFBE3D98"/>
    <w:rsid w:val="C3FF76C7"/>
    <w:rsid w:val="C7BFE4C2"/>
    <w:rsid w:val="C8F7EF24"/>
    <w:rsid w:val="CFFF8FDB"/>
    <w:rsid w:val="D5EDA622"/>
    <w:rsid w:val="DB75A0C3"/>
    <w:rsid w:val="DCF924B3"/>
    <w:rsid w:val="DF7559DA"/>
    <w:rsid w:val="E5FF145D"/>
    <w:rsid w:val="EB7ABA0A"/>
    <w:rsid w:val="EBFFD405"/>
    <w:rsid w:val="EDEFCCA0"/>
    <w:rsid w:val="EEFE541A"/>
    <w:rsid w:val="EF4F66E2"/>
    <w:rsid w:val="EF7B5765"/>
    <w:rsid w:val="EFE73CD6"/>
    <w:rsid w:val="F5151916"/>
    <w:rsid w:val="F77D6855"/>
    <w:rsid w:val="F97D2EF8"/>
    <w:rsid w:val="F9D90EDE"/>
    <w:rsid w:val="F9ED6DE0"/>
    <w:rsid w:val="FAE5BEDC"/>
    <w:rsid w:val="FBBFB2EA"/>
    <w:rsid w:val="FBEFEA3A"/>
    <w:rsid w:val="FBF75CB3"/>
    <w:rsid w:val="FBFB353C"/>
    <w:rsid w:val="FBFD858B"/>
    <w:rsid w:val="FCB767D5"/>
    <w:rsid w:val="FCEE3E74"/>
    <w:rsid w:val="FDDF8CCA"/>
    <w:rsid w:val="FDF77AF3"/>
    <w:rsid w:val="FDFF61CE"/>
    <w:rsid w:val="FEE72A8D"/>
    <w:rsid w:val="FF08C25A"/>
    <w:rsid w:val="FFAF5B3C"/>
    <w:rsid w:val="FFFE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annotation text"/>
    <w:basedOn w:val="1"/>
    <w:qFormat/>
    <w:uiPriority w:val="0"/>
    <w:pPr>
      <w:jc w:val="left"/>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paragraph" w:customStyle="1" w:styleId="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736</Words>
  <Characters>737</Characters>
  <Lines>0</Lines>
  <Paragraphs>0</Paragraphs>
  <TotalTime>1</TotalTime>
  <ScaleCrop>false</ScaleCrop>
  <LinksUpToDate>false</LinksUpToDate>
  <CharactersWithSpaces>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2022-08-08T18:30:00Z</dcterms:created>
  <dc:creator>传入的名字</dc:creator>
  <cp:lastModifiedBy>admin</cp:lastModifiedBy>
  <cp:lastPrinted>2023-02-24T09:48:00Z</cp:lastPrinted>
  <dcterms:modified xsi:type="dcterms:W3CDTF">2023-05-19T02:10:57Z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C73BBE6AFBB54E1693600C71F530772D_13</vt:lpwstr>
  </property>
</Properties>
</file>