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CA9" w:rsidRDefault="007D191D" w:rsidP="007D191D">
      <w:pPr>
        <w:ind w:right="840"/>
        <w:rPr>
          <w:rFonts w:ascii="黑体" w:eastAsia="黑体" w:hAnsi="黑体"/>
          <w:sz w:val="32"/>
          <w:szCs w:val="32"/>
        </w:rPr>
      </w:pPr>
      <w:r w:rsidRPr="007D191D">
        <w:rPr>
          <w:rFonts w:ascii="黑体" w:eastAsia="黑体" w:hAnsi="黑体" w:hint="eastAsia"/>
          <w:sz w:val="32"/>
          <w:szCs w:val="32"/>
        </w:rPr>
        <w:t>附件</w:t>
      </w:r>
    </w:p>
    <w:p w:rsidR="00DC4C6C" w:rsidRPr="00DC4C6C" w:rsidRDefault="00DC4C6C" w:rsidP="00DC4C6C">
      <w:pPr>
        <w:ind w:firstLineChars="200" w:firstLine="640"/>
        <w:jc w:val="center"/>
        <w:rPr>
          <w:rFonts w:ascii="Times New Roman" w:hAnsi="Times New Roman" w:cs="Mongolian Baiti"/>
          <w:kern w:val="0"/>
          <w:sz w:val="32"/>
          <w:szCs w:val="32"/>
        </w:rPr>
      </w:pPr>
    </w:p>
    <w:p w:rsidR="00DC4C6C" w:rsidRPr="00DC4C6C" w:rsidRDefault="00DC4C6C" w:rsidP="00DC4C6C">
      <w:pPr>
        <w:rPr>
          <w:rFonts w:ascii="Times New Roman" w:hAnsi="Times New Roman" w:cs="Mongolian Baiti"/>
          <w:kern w:val="0"/>
          <w:sz w:val="48"/>
          <w:szCs w:val="48"/>
        </w:rPr>
      </w:pPr>
    </w:p>
    <w:p w:rsidR="00DC4C6C" w:rsidRPr="00DC4C6C" w:rsidRDefault="00DC4C6C" w:rsidP="00DC4C6C">
      <w:pPr>
        <w:overflowPunct w:val="0"/>
        <w:spacing w:line="480" w:lineRule="auto"/>
        <w:jc w:val="center"/>
        <w:rPr>
          <w:rFonts w:ascii="Times New Roman" w:eastAsia="黑体" w:hAnsi="Times New Roman" w:cs="Mongolian Baiti"/>
          <w:b/>
          <w:bCs/>
          <w:kern w:val="0"/>
          <w:sz w:val="36"/>
          <w:szCs w:val="36"/>
        </w:rPr>
      </w:pPr>
      <w:r w:rsidRPr="00A5342C">
        <w:rPr>
          <w:rFonts w:ascii="Times New Roman" w:eastAsia="黑体" w:hAnsi="Times New Roman" w:cs="Mongolian Baiti" w:hint="eastAsia"/>
          <w:b/>
          <w:bCs/>
          <w:w w:val="96"/>
          <w:kern w:val="0"/>
          <w:sz w:val="36"/>
          <w:szCs w:val="36"/>
          <w:fitText w:val="4337" w:id="-1704705533"/>
        </w:rPr>
        <w:t>广州市机制</w:t>
      </w:r>
      <w:proofErr w:type="gramStart"/>
      <w:r w:rsidRPr="00A5342C">
        <w:rPr>
          <w:rFonts w:ascii="Times New Roman" w:eastAsia="黑体" w:hAnsi="Times New Roman" w:cs="Mongolian Baiti" w:hint="eastAsia"/>
          <w:b/>
          <w:bCs/>
          <w:w w:val="96"/>
          <w:kern w:val="0"/>
          <w:sz w:val="36"/>
          <w:szCs w:val="36"/>
          <w:fitText w:val="4337" w:id="-1704705533"/>
        </w:rPr>
        <w:t>砂</w:t>
      </w:r>
      <w:proofErr w:type="gramEnd"/>
      <w:r w:rsidRPr="00A5342C">
        <w:rPr>
          <w:rFonts w:ascii="Times New Roman" w:eastAsia="黑体" w:hAnsi="Times New Roman" w:cs="Mongolian Baiti" w:hint="eastAsia"/>
          <w:b/>
          <w:bCs/>
          <w:w w:val="96"/>
          <w:kern w:val="0"/>
          <w:sz w:val="36"/>
          <w:szCs w:val="36"/>
          <w:fitText w:val="4337" w:id="-1704705533"/>
        </w:rPr>
        <w:t>生产技术指</w:t>
      </w:r>
      <w:r w:rsidRPr="00A5342C">
        <w:rPr>
          <w:rFonts w:ascii="Times New Roman" w:eastAsia="黑体" w:hAnsi="Times New Roman" w:cs="Mongolian Baiti" w:hint="eastAsia"/>
          <w:b/>
          <w:bCs/>
          <w:spacing w:val="97"/>
          <w:w w:val="96"/>
          <w:kern w:val="0"/>
          <w:sz w:val="36"/>
          <w:szCs w:val="36"/>
          <w:fitText w:val="4337" w:id="-1704705533"/>
        </w:rPr>
        <w:t>引</w:t>
      </w:r>
    </w:p>
    <w:p w:rsidR="00DC4C6C" w:rsidRPr="00DC4C6C" w:rsidRDefault="00DC4C6C" w:rsidP="00DC4C6C">
      <w:pPr>
        <w:overflowPunct w:val="0"/>
        <w:spacing w:line="480" w:lineRule="auto"/>
        <w:jc w:val="center"/>
        <w:rPr>
          <w:rFonts w:ascii="Times New Roman" w:eastAsia="黑体" w:hAnsi="Times New Roman" w:cs="Mongolian Baiti"/>
          <w:b/>
          <w:bCs/>
          <w:kern w:val="0"/>
          <w:sz w:val="36"/>
          <w:szCs w:val="36"/>
        </w:rPr>
      </w:pPr>
      <w:r w:rsidRPr="00A5342C">
        <w:rPr>
          <w:rFonts w:ascii="Times New Roman" w:eastAsia="黑体" w:hAnsi="Times New Roman" w:cs="Mongolian Baiti" w:hint="eastAsia"/>
          <w:b/>
          <w:bCs/>
          <w:w w:val="92"/>
          <w:kern w:val="0"/>
          <w:sz w:val="36"/>
          <w:szCs w:val="36"/>
          <w:fitText w:val="1053" w:id="-1704705532"/>
        </w:rPr>
        <w:t>(</w:t>
      </w:r>
      <w:r w:rsidRPr="00A5342C">
        <w:rPr>
          <w:rFonts w:ascii="Times New Roman" w:eastAsia="黑体" w:hAnsi="Times New Roman" w:cs="Mongolian Baiti" w:hint="eastAsia"/>
          <w:b/>
          <w:bCs/>
          <w:w w:val="92"/>
          <w:kern w:val="0"/>
          <w:sz w:val="36"/>
          <w:szCs w:val="36"/>
          <w:fitText w:val="1053" w:id="-1704705532"/>
        </w:rPr>
        <w:t>试行</w:t>
      </w:r>
      <w:r w:rsidRPr="00A5342C">
        <w:rPr>
          <w:rFonts w:ascii="Times New Roman" w:eastAsia="黑体" w:hAnsi="Times New Roman" w:cs="Mongolian Baiti" w:hint="eastAsia"/>
          <w:b/>
          <w:bCs/>
          <w:w w:val="92"/>
          <w:kern w:val="0"/>
          <w:sz w:val="36"/>
          <w:szCs w:val="36"/>
          <w:fitText w:val="1053" w:id="-1704705532"/>
        </w:rPr>
        <w:t>)</w:t>
      </w:r>
      <w:r w:rsidRPr="00A5342C">
        <w:rPr>
          <w:rFonts w:ascii="Times New Roman" w:eastAsia="黑体" w:hAnsi="Times New Roman" w:cs="Mongolian Baiti"/>
          <w:b/>
          <w:bCs/>
          <w:w w:val="92"/>
          <w:kern w:val="0"/>
          <w:sz w:val="36"/>
          <w:szCs w:val="36"/>
          <w:fitText w:val="1053" w:id="-1704705532"/>
        </w:rPr>
        <w:t xml:space="preserve"> </w:t>
      </w:r>
    </w:p>
    <w:p w:rsidR="00DC4C6C" w:rsidRPr="00DC4C6C" w:rsidRDefault="00DC4C6C" w:rsidP="00DC4C6C">
      <w:pPr>
        <w:overflowPunct w:val="0"/>
        <w:spacing w:line="480" w:lineRule="auto"/>
        <w:jc w:val="center"/>
        <w:rPr>
          <w:rFonts w:ascii="Times New Roman" w:hAnsi="Times New Roman" w:cs="Mongolian Baiti"/>
          <w:b/>
          <w:bCs/>
          <w:kern w:val="0"/>
          <w:sz w:val="30"/>
          <w:szCs w:val="30"/>
        </w:rPr>
      </w:pPr>
      <w:r w:rsidRPr="00DC4C6C">
        <w:rPr>
          <w:rFonts w:ascii="Times New Roman" w:hAnsi="Times New Roman" w:cs="Mongolian Baiti"/>
          <w:b/>
          <w:bCs/>
          <w:w w:val="99"/>
          <w:kern w:val="0"/>
          <w:sz w:val="30"/>
          <w:szCs w:val="30"/>
          <w:fitText w:val="8034" w:id="-1704705531"/>
        </w:rPr>
        <w:t>Technical Guidelines for P</w:t>
      </w:r>
      <w:r w:rsidRPr="00DC4C6C">
        <w:rPr>
          <w:rFonts w:ascii="Times New Roman" w:hAnsi="Times New Roman" w:cs="Mongolian Baiti" w:hint="eastAsia"/>
          <w:b/>
          <w:bCs/>
          <w:w w:val="99"/>
          <w:kern w:val="0"/>
          <w:sz w:val="30"/>
          <w:szCs w:val="30"/>
          <w:fitText w:val="8034" w:id="-1704705531"/>
        </w:rPr>
        <w:t>rodu</w:t>
      </w:r>
      <w:r w:rsidRPr="00DC4C6C">
        <w:rPr>
          <w:rFonts w:ascii="Times New Roman" w:hAnsi="Times New Roman" w:cs="Mongolian Baiti"/>
          <w:b/>
          <w:bCs/>
          <w:w w:val="99"/>
          <w:kern w:val="0"/>
          <w:sz w:val="30"/>
          <w:szCs w:val="30"/>
          <w:fitText w:val="8034" w:id="-1704705531"/>
        </w:rPr>
        <w:t>ction of Manufactured Sand in</w:t>
      </w:r>
      <w:r w:rsidRPr="00DC4C6C">
        <w:rPr>
          <w:rFonts w:ascii="Times New Roman" w:hAnsi="Times New Roman" w:cs="Mongolian Baiti"/>
          <w:b/>
          <w:bCs/>
          <w:spacing w:val="8"/>
          <w:w w:val="99"/>
          <w:kern w:val="0"/>
          <w:sz w:val="30"/>
          <w:szCs w:val="30"/>
          <w:fitText w:val="8034" w:id="-1704705531"/>
        </w:rPr>
        <w:t xml:space="preserve"> </w:t>
      </w:r>
    </w:p>
    <w:p w:rsidR="00DC4C6C" w:rsidRPr="00DC4C6C" w:rsidRDefault="00DC4C6C" w:rsidP="00DC4C6C">
      <w:pPr>
        <w:overflowPunct w:val="0"/>
        <w:spacing w:line="480" w:lineRule="auto"/>
        <w:jc w:val="center"/>
        <w:rPr>
          <w:rFonts w:ascii="Times New Roman" w:hAnsi="Times New Roman" w:cs="Mongolian Baiti"/>
          <w:kern w:val="0"/>
          <w:sz w:val="48"/>
          <w:szCs w:val="48"/>
        </w:rPr>
      </w:pPr>
      <w:r w:rsidRPr="00DC4C6C">
        <w:rPr>
          <w:rFonts w:ascii="Times New Roman" w:hAnsi="Times New Roman" w:cs="Mongolian Baiti"/>
          <w:b/>
          <w:bCs/>
          <w:kern w:val="0"/>
          <w:sz w:val="30"/>
          <w:szCs w:val="30"/>
          <w:fitText w:val="1484" w:id="-1704705530"/>
        </w:rPr>
        <w:t>Guangzhou</w:t>
      </w:r>
    </w:p>
    <w:p w:rsidR="00DC4C6C" w:rsidRPr="00DC4C6C" w:rsidRDefault="00DC4C6C" w:rsidP="00DC4C6C">
      <w:pPr>
        <w:ind w:left="480" w:firstLineChars="200" w:firstLine="562"/>
        <w:jc w:val="center"/>
        <w:rPr>
          <w:rFonts w:ascii="Times New Roman" w:hAnsi="Times New Roman" w:cs="Mongolian Baiti"/>
          <w:b/>
          <w:kern w:val="0"/>
          <w:sz w:val="28"/>
          <w:szCs w:val="28"/>
        </w:rPr>
      </w:pPr>
    </w:p>
    <w:p w:rsidR="00DC4C6C" w:rsidRPr="00DC4C6C" w:rsidRDefault="00DC4C6C" w:rsidP="00DC4C6C">
      <w:pPr>
        <w:spacing w:line="360" w:lineRule="auto"/>
        <w:rPr>
          <w:rFonts w:ascii="Times New Roman" w:hAnsi="Times New Roman" w:cs="Mongolian Baiti"/>
          <w:kern w:val="0"/>
          <w:sz w:val="48"/>
          <w:szCs w:val="48"/>
        </w:rPr>
      </w:pPr>
    </w:p>
    <w:p w:rsidR="00DC4C6C" w:rsidRPr="00DC4C6C" w:rsidRDefault="00DC4C6C" w:rsidP="00DC4C6C">
      <w:pPr>
        <w:spacing w:line="360" w:lineRule="auto"/>
        <w:rPr>
          <w:rFonts w:ascii="Times New Roman" w:hAnsi="Times New Roman" w:cs="Mongolian Baiti"/>
          <w:kern w:val="0"/>
          <w:sz w:val="48"/>
          <w:szCs w:val="48"/>
        </w:rPr>
      </w:pPr>
    </w:p>
    <w:tbl>
      <w:tblPr>
        <w:tblStyle w:val="12"/>
        <w:tblW w:w="55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4"/>
        <w:gridCol w:w="4111"/>
      </w:tblGrid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right"/>
              <w:rPr>
                <w:rFonts w:ascii="Times New Roman" w:hAnsi="Times New Roman" w:cs="Mongolian Baiti"/>
                <w:b/>
                <w:sz w:val="28"/>
                <w:szCs w:val="22"/>
              </w:rPr>
            </w:pPr>
            <w:r w:rsidRPr="00DC4C6C">
              <w:rPr>
                <w:rFonts w:ascii="Times New Roman" w:hAnsi="Times New Roman" w:cs="Mongolian Baiti" w:hint="eastAsia"/>
                <w:sz w:val="24"/>
                <w:szCs w:val="22"/>
              </w:rPr>
              <w:t>指导单位：</w:t>
            </w: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spacing w:line="360" w:lineRule="auto"/>
              <w:rPr>
                <w:rFonts w:ascii="Times New Roman" w:hAnsi="Times New Roman" w:cs="Mongolian Baiti"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spacing w:val="60"/>
                <w:sz w:val="24"/>
                <w:fitText w:val="3840" w:id="-1704705529"/>
              </w:rPr>
              <w:t>广州市住房和城乡建设</w:t>
            </w:r>
            <w:r w:rsidRPr="00DC4C6C">
              <w:rPr>
                <w:rFonts w:ascii="Times New Roman" w:hAnsi="Times New Roman" w:cs="Mongolian Baiti" w:hint="eastAsia"/>
                <w:sz w:val="24"/>
                <w:fitText w:val="3840" w:id="-1704705529"/>
              </w:rPr>
              <w:t>局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right"/>
              <w:rPr>
                <w:rFonts w:ascii="Times New Roman" w:hAnsi="Times New Roman" w:cs="Mongolian Baiti"/>
                <w:b/>
                <w:sz w:val="28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spacing w:line="360" w:lineRule="auto"/>
              <w:rPr>
                <w:rFonts w:ascii="Times New Roman" w:hAnsi="Times New Roman" w:cs="Mongolian Baiti"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spacing w:val="30"/>
                <w:sz w:val="24"/>
                <w:fitText w:val="3840" w:id="-1704705528"/>
              </w:rPr>
              <w:t>广州市散装水泥管理办公</w:t>
            </w:r>
            <w:r w:rsidRPr="00DC4C6C">
              <w:rPr>
                <w:rFonts w:ascii="Times New Roman" w:hAnsi="Times New Roman" w:cs="Mongolian Baiti" w:hint="eastAsia"/>
                <w:spacing w:val="150"/>
                <w:sz w:val="24"/>
                <w:fitText w:val="3840" w:id="-1704705528"/>
              </w:rPr>
              <w:t>室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right"/>
              <w:rPr>
                <w:rFonts w:ascii="Times New Roman" w:hAnsi="Times New Roman" w:cs="Mongolian Baiti"/>
                <w:b/>
                <w:sz w:val="28"/>
                <w:szCs w:val="22"/>
              </w:rPr>
            </w:pPr>
            <w:r w:rsidRPr="00DC4C6C">
              <w:rPr>
                <w:rFonts w:ascii="Times New Roman" w:hAnsi="Times New Roman" w:cs="Mongolian Baiti"/>
                <w:sz w:val="24"/>
                <w:szCs w:val="22"/>
              </w:rPr>
              <w:t>主编单位：</w:t>
            </w: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spacing w:line="360" w:lineRule="auto"/>
              <w:rPr>
                <w:rFonts w:ascii="Times New Roman" w:hAnsi="Times New Roman" w:cs="Mongolian Baiti"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sz w:val="24"/>
              </w:rPr>
              <w:t>广州市建筑科学研究院集团有限公司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right"/>
              <w:rPr>
                <w:rFonts w:ascii="Times New Roman" w:hAnsi="Times New Roman" w:cs="Mongolian Baiti"/>
                <w:b/>
                <w:sz w:val="28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spacing w:line="360" w:lineRule="auto"/>
              <w:rPr>
                <w:rFonts w:ascii="Times New Roman" w:hAnsi="Times New Roman" w:cs="Mongolian Baiti"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spacing w:val="240"/>
                <w:sz w:val="24"/>
                <w:fitText w:val="3840" w:id="-1704705527"/>
              </w:rPr>
              <w:t>华南理工大</w:t>
            </w:r>
            <w:r w:rsidRPr="00DC4C6C">
              <w:rPr>
                <w:rFonts w:ascii="Times New Roman" w:hAnsi="Times New Roman" w:cs="Mongolian Baiti" w:hint="eastAsia"/>
                <w:sz w:val="24"/>
                <w:fitText w:val="3840" w:id="-1704705527"/>
              </w:rPr>
              <w:t>学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right"/>
              <w:rPr>
                <w:rFonts w:ascii="Times New Roman" w:hAnsi="Times New Roman" w:cs="Mongolian Baiti"/>
                <w:bCs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bCs/>
                <w:sz w:val="24"/>
              </w:rPr>
              <w:t>参编单位：</w:t>
            </w: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jc w:val="left"/>
              <w:rPr>
                <w:rFonts w:ascii="Times New Roman" w:hAnsi="Times New Roman" w:cs="Mongolian Baiti"/>
                <w:bCs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bCs/>
                <w:spacing w:val="60"/>
                <w:sz w:val="24"/>
                <w:fitText w:val="3840" w:id="-1704705526"/>
              </w:rPr>
              <w:t>广州机制砂实业有限公</w:t>
            </w:r>
            <w:r w:rsidRPr="00DC4C6C">
              <w:rPr>
                <w:rFonts w:ascii="Times New Roman" w:hAnsi="Times New Roman" w:cs="Mongolian Baiti" w:hint="eastAsia"/>
                <w:bCs/>
                <w:sz w:val="24"/>
                <w:fitText w:val="3840" w:id="-1704705526"/>
              </w:rPr>
              <w:t>司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center"/>
              <w:rPr>
                <w:rFonts w:ascii="Times New Roman" w:hAnsi="Times New Roman" w:cs="Mongolian Baiti"/>
                <w:b/>
                <w:sz w:val="28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jc w:val="left"/>
              <w:rPr>
                <w:rFonts w:ascii="Times New Roman" w:hAnsi="Times New Roman" w:cs="Mongolian Baiti"/>
                <w:bCs/>
                <w:sz w:val="24"/>
              </w:rPr>
            </w:pPr>
            <w:r w:rsidRPr="00DC4C6C">
              <w:rPr>
                <w:rFonts w:ascii="Times New Roman" w:hAnsi="Times New Roman" w:cs="Mongolian Baiti" w:hint="eastAsia"/>
                <w:bCs/>
                <w:spacing w:val="75"/>
                <w:sz w:val="24"/>
                <w:fitText w:val="3840" w:id="-1704705525"/>
              </w:rPr>
              <w:t>广州谷城集团有限公</w:t>
            </w:r>
            <w:r w:rsidRPr="00DC4C6C">
              <w:rPr>
                <w:rFonts w:ascii="Times New Roman" w:hAnsi="Times New Roman" w:cs="Mongolian Baiti" w:hint="eastAsia"/>
                <w:bCs/>
                <w:spacing w:val="45"/>
                <w:sz w:val="24"/>
                <w:fitText w:val="3840" w:id="-1704705525"/>
              </w:rPr>
              <w:t>司</w:t>
            </w:r>
          </w:p>
        </w:tc>
      </w:tr>
      <w:tr w:rsidR="00DC4C6C" w:rsidRPr="00DC4C6C" w:rsidTr="00963F66">
        <w:trPr>
          <w:trHeight w:val="624"/>
          <w:jc w:val="center"/>
        </w:trPr>
        <w:tc>
          <w:tcPr>
            <w:tcW w:w="1444" w:type="dxa"/>
            <w:vAlign w:val="center"/>
          </w:tcPr>
          <w:p w:rsidR="00DC4C6C" w:rsidRPr="00DC4C6C" w:rsidRDefault="00DC4C6C" w:rsidP="00DC4C6C">
            <w:pPr>
              <w:jc w:val="center"/>
              <w:rPr>
                <w:rFonts w:ascii="Times New Roman" w:hAnsi="Times New Roman" w:cs="Mongolian Baiti"/>
                <w:b/>
                <w:sz w:val="28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DC4C6C" w:rsidRPr="00DC4C6C" w:rsidRDefault="00DC4C6C" w:rsidP="00DC4C6C">
            <w:pPr>
              <w:jc w:val="left"/>
              <w:rPr>
                <w:rFonts w:ascii="Times New Roman" w:hAnsi="Times New Roman" w:cs="Mongolian Baiti"/>
                <w:bCs/>
                <w:sz w:val="24"/>
              </w:rPr>
            </w:pPr>
            <w:r w:rsidRPr="008806DE">
              <w:rPr>
                <w:rFonts w:ascii="Times New Roman" w:hAnsi="Times New Roman" w:cs="Mongolian Baiti" w:hint="eastAsia"/>
                <w:bCs/>
                <w:spacing w:val="30"/>
                <w:sz w:val="24"/>
                <w:fitText w:val="3840" w:id="-1704705524"/>
              </w:rPr>
              <w:t>广东东升实业集团有限公</w:t>
            </w:r>
            <w:r w:rsidRPr="008806DE">
              <w:rPr>
                <w:rFonts w:ascii="Times New Roman" w:hAnsi="Times New Roman" w:cs="Mongolian Baiti" w:hint="eastAsia"/>
                <w:bCs/>
                <w:spacing w:val="150"/>
                <w:sz w:val="24"/>
                <w:fitText w:val="3840" w:id="-1704705524"/>
              </w:rPr>
              <w:t>司</w:t>
            </w:r>
          </w:p>
        </w:tc>
      </w:tr>
    </w:tbl>
    <w:p w:rsidR="00DC4C6C" w:rsidRPr="00DC4C6C" w:rsidRDefault="00DC4C6C" w:rsidP="00DC4C6C">
      <w:pPr>
        <w:ind w:firstLineChars="200" w:firstLine="562"/>
        <w:jc w:val="center"/>
        <w:rPr>
          <w:rFonts w:ascii="Times New Roman" w:hAnsi="Times New Roman" w:cs="Mongolian Baiti"/>
          <w:b/>
          <w:sz w:val="28"/>
          <w:szCs w:val="22"/>
        </w:r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0" w:name="_Toc19446195"/>
      <w:bookmarkStart w:id="1" w:name="_Toc19517768"/>
      <w:bookmarkStart w:id="2" w:name="_Toc60163545"/>
      <w:bookmarkStart w:id="3" w:name="_Toc19446983"/>
      <w:bookmarkStart w:id="4" w:name="_Toc19349517"/>
      <w:bookmarkStart w:id="5" w:name="_Toc73450673"/>
      <w:bookmarkStart w:id="6" w:name="_Toc19450240"/>
      <w:bookmarkStart w:id="7" w:name="_Toc60760756"/>
      <w:bookmarkStart w:id="8" w:name="_Toc19280462"/>
      <w:bookmarkStart w:id="9" w:name="_Toc19202304"/>
      <w:bookmarkStart w:id="10" w:name="_Toc62464520"/>
    </w:p>
    <w:p w:rsidR="00DC4C6C" w:rsidRPr="00DC4C6C" w:rsidRDefault="00DC4C6C" w:rsidP="00DC4C6C">
      <w:pPr>
        <w:ind w:firstLineChars="200" w:firstLine="480"/>
        <w:rPr>
          <w:rFonts w:ascii="Times New Roman" w:hAnsi="Times New Roman" w:cs="Mongolian Baiti"/>
          <w:sz w:val="24"/>
          <w:szCs w:val="22"/>
        </w:rPr>
      </w:pPr>
    </w:p>
    <w:p w:rsidR="00DC4C6C" w:rsidRPr="00DC4C6C" w:rsidRDefault="00DC4C6C" w:rsidP="00DC4C6C">
      <w:pPr>
        <w:ind w:firstLineChars="200" w:firstLine="480"/>
        <w:rPr>
          <w:rFonts w:ascii="Times New Roman" w:hAnsi="Times New Roman" w:cs="Mongolian Baiti"/>
          <w:sz w:val="24"/>
          <w:szCs w:val="22"/>
        </w:rPr>
      </w:pPr>
    </w:p>
    <w:p w:rsidR="00DC4C6C" w:rsidRPr="00DC4C6C" w:rsidRDefault="00DC4C6C" w:rsidP="00DC4C6C">
      <w:pPr>
        <w:ind w:firstLineChars="200" w:firstLine="480"/>
        <w:rPr>
          <w:rFonts w:ascii="Times New Roman" w:hAnsi="Times New Roman" w:cs="Mongolian Baiti"/>
          <w:sz w:val="24"/>
          <w:szCs w:val="22"/>
        </w:r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color w:val="000000"/>
          <w:kern w:val="44"/>
          <w:sz w:val="36"/>
          <w:szCs w:val="44"/>
        </w:rPr>
      </w:pP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目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 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次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DC4C6C">
        <w:rPr>
          <w:rFonts w:ascii="Times New Roman" w:eastAsia="黑体" w:hAnsi="Times New Roman"/>
          <w:b/>
          <w:bCs/>
          <w:kern w:val="0"/>
          <w:sz w:val="36"/>
          <w:szCs w:val="21"/>
        </w:rPr>
        <w:fldChar w:fldCharType="begin"/>
      </w:r>
      <w:r w:rsidRPr="00DC4C6C">
        <w:rPr>
          <w:rFonts w:ascii="Times New Roman" w:eastAsia="黑体" w:hAnsi="Times New Roman" w:cs="Mongolian Baiti"/>
          <w:bCs/>
          <w:kern w:val="44"/>
          <w:sz w:val="36"/>
          <w:szCs w:val="44"/>
        </w:rPr>
        <w:instrText xml:space="preserve"> TOC \o "1-2" \h \z \u </w:instrText>
      </w:r>
      <w:r w:rsidRPr="00DC4C6C">
        <w:rPr>
          <w:rFonts w:ascii="Times New Roman" w:eastAsia="黑体" w:hAnsi="Times New Roman"/>
          <w:b/>
          <w:bCs/>
          <w:kern w:val="0"/>
          <w:sz w:val="36"/>
          <w:szCs w:val="21"/>
        </w:rPr>
        <w:fldChar w:fldCharType="separate"/>
      </w:r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74" w:history="1"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 xml:space="preserve">1 </w:t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</w:rPr>
          <w:t>总则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_Toc73450674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1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75" w:history="1"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 xml:space="preserve">2 </w:t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</w:rPr>
          <w:t>术语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_Toc73450675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2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76" w:history="1"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  <w:lang w:val="en-GB"/>
          </w:rPr>
          <w:t xml:space="preserve">3 </w:t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  <w:lang w:val="en-GB"/>
          </w:rPr>
          <w:t>料源的选择与要求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_Toc73450676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3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77" w:history="1"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 xml:space="preserve">4 </w:t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</w:rPr>
          <w:t>生产工艺流程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_Toc73450677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5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78" w:history="1"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 xml:space="preserve">4.1  </w:t>
        </w:r>
        <w:r w:rsidR="00DC4C6C" w:rsidRPr="00DC4C6C">
          <w:rPr>
            <w:rFonts w:ascii="Times New Roman" w:hAnsi="Times New Roman" w:cs="Mongolian Baiti" w:hint="eastAsia"/>
            <w:color w:val="000000"/>
            <w:sz w:val="24"/>
            <w:szCs w:val="22"/>
          </w:rPr>
          <w:t>一般规定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_Toc73450678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5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79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4.2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工艺流程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_Toc73450679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6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0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4.3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工艺布置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_Toc73450680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9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81" w:history="1"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  <w:lang w:val="en-GB"/>
          </w:rPr>
          <w:t xml:space="preserve">5 </w:t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  <w:lang w:val="en-GB"/>
          </w:rPr>
          <w:t>生产设备选型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_Toc73450681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10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2" w:history="1"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 xml:space="preserve">5.1  </w:t>
        </w:r>
        <w:r w:rsidR="00DC4C6C" w:rsidRPr="00DC4C6C">
          <w:rPr>
            <w:rFonts w:ascii="Times New Roman" w:hAnsi="Times New Roman" w:cs="Mongolian Baiti" w:hint="eastAsia"/>
            <w:color w:val="000000"/>
            <w:sz w:val="24"/>
            <w:szCs w:val="22"/>
          </w:rPr>
          <w:t>一般规定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_Toc73450682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10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3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5.2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设备选型原则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_Toc73450683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10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84" w:history="1">
        <w:r w:rsidR="00DC4C6C" w:rsidRPr="00DC4C6C">
          <w:rPr>
            <w:rFonts w:ascii="Times New Roman" w:eastAsia="黑体" w:hAnsi="Times New Roman"/>
            <w:b/>
            <w:bCs/>
            <w:color w:val="000000"/>
            <w:kern w:val="44"/>
            <w:sz w:val="24"/>
            <w:szCs w:val="21"/>
            <w:lang w:val="en-GB"/>
          </w:rPr>
          <w:t xml:space="preserve">6 </w:t>
        </w:r>
        <w:r w:rsidR="00DC4C6C" w:rsidRPr="00DC4C6C">
          <w:rPr>
            <w:rFonts w:ascii="宋体" w:hAnsi="宋体" w:hint="eastAsia"/>
            <w:b/>
            <w:bCs/>
            <w:color w:val="000000"/>
            <w:kern w:val="44"/>
            <w:sz w:val="24"/>
            <w:szCs w:val="21"/>
            <w:lang w:val="en-GB"/>
          </w:rPr>
          <w:t>生产管理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_Toc73450684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14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5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6.1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一般规定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_Toc73450685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14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6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6.2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废水处理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_Toc73450686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14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7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6.3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粉尘治理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_Toc73450687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15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8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6.4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固体废弃物污染防治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_Toc73450688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15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89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6.5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减振降噪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_Toc73450689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16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90" w:history="1">
        <w:r w:rsidR="00DC4C6C" w:rsidRPr="00DC4C6C">
          <w:rPr>
            <w:rFonts w:ascii="Times New Roman" w:eastAsia="黑体" w:hAnsi="Times New Roman"/>
            <w:b/>
            <w:bCs/>
            <w:color w:val="000000"/>
            <w:kern w:val="44"/>
            <w:sz w:val="24"/>
            <w:szCs w:val="21"/>
          </w:rPr>
          <w:t xml:space="preserve">7 </w:t>
        </w:r>
        <w:r w:rsidR="00DC4C6C" w:rsidRPr="00DC4C6C">
          <w:rPr>
            <w:rFonts w:ascii="宋体" w:hAnsi="宋体" w:hint="eastAsia"/>
            <w:b/>
            <w:bCs/>
            <w:color w:val="000000"/>
            <w:kern w:val="44"/>
            <w:sz w:val="24"/>
            <w:szCs w:val="21"/>
          </w:rPr>
          <w:t>检验与验收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_Toc73450690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17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1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7.1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一般规定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_Toc73450691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17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2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</w:rPr>
          <w:t xml:space="preserve">7.2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检验分类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_Toc73450692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17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3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>7.</w:t>
        </w:r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</w:rPr>
          <w:t>3</w:t>
        </w:r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检验项目和试验方法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_Toc73450693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18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4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</w:rPr>
          <w:t xml:space="preserve">7.4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组批和判定规则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_Toc73450694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19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5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</w:rPr>
          <w:t xml:space="preserve">7.5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验收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_Toc73450695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19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696" w:history="1">
        <w:r w:rsidR="00DC4C6C" w:rsidRPr="00DC4C6C">
          <w:rPr>
            <w:rFonts w:ascii="Times New Roman" w:eastAsia="黑体" w:hAnsi="Times New Roman"/>
            <w:b/>
            <w:bCs/>
            <w:color w:val="000000"/>
            <w:kern w:val="44"/>
            <w:sz w:val="24"/>
            <w:szCs w:val="21"/>
          </w:rPr>
          <w:t xml:space="preserve">8 </w:t>
        </w:r>
        <w:r w:rsidR="00DC4C6C" w:rsidRPr="00DC4C6C">
          <w:rPr>
            <w:rFonts w:ascii="宋体" w:hAnsi="宋体" w:hint="eastAsia"/>
            <w:b/>
            <w:bCs/>
            <w:color w:val="000000"/>
            <w:kern w:val="44"/>
            <w:sz w:val="24"/>
            <w:szCs w:val="21"/>
          </w:rPr>
          <w:t>标识、储存和运输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_Toc73450696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20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7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8.1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标识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_Toc73450697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20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8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8.2 </w:t>
        </w:r>
        <w:r w:rsidR="00DC4C6C" w:rsidRPr="00DC4C6C">
          <w:rPr>
            <w:rFonts w:ascii="宋体" w:hAnsi="宋体"/>
            <w:bCs/>
            <w:color w:val="000000"/>
            <w:kern w:val="0"/>
            <w:sz w:val="24"/>
            <w:szCs w:val="22"/>
            <w:lang w:val="en-GB"/>
          </w:rPr>
          <w:t xml:space="preserve">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储存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_Toc73450698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20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ind w:firstLineChars="100" w:firstLine="210"/>
        <w:rPr>
          <w:rFonts w:cs="Mongolian Baiti"/>
          <w:color w:val="000000"/>
          <w:szCs w:val="28"/>
          <w:lang w:bidi="mn-Mong-CN"/>
        </w:rPr>
      </w:pPr>
      <w:hyperlink w:anchor="_Toc73450699" w:history="1">
        <w:r w:rsidR="00DC4C6C" w:rsidRPr="00DC4C6C">
          <w:rPr>
            <w:rFonts w:ascii="Times New Roman" w:eastAsia="黑体" w:hAnsi="Times New Roman"/>
            <w:bCs/>
            <w:color w:val="000000"/>
            <w:kern w:val="0"/>
            <w:sz w:val="24"/>
            <w:szCs w:val="22"/>
            <w:lang w:val="en-GB"/>
          </w:rPr>
          <w:t xml:space="preserve">8.3  </w:t>
        </w:r>
        <w:r w:rsidR="00DC4C6C" w:rsidRPr="00DC4C6C">
          <w:rPr>
            <w:rFonts w:ascii="宋体" w:hAnsi="宋体" w:hint="eastAsia"/>
            <w:bCs/>
            <w:color w:val="000000"/>
            <w:kern w:val="0"/>
            <w:sz w:val="24"/>
            <w:szCs w:val="22"/>
            <w:lang w:val="en-GB"/>
          </w:rPr>
          <w:t>运输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tab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begin"/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instrText xml:space="preserve"> PAGEREF _Toc73450699 \h </w:instrTex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separate"/>
        </w:r>
        <w:r w:rsidR="00DC4C6C" w:rsidRPr="00DC4C6C">
          <w:rPr>
            <w:rFonts w:ascii="Times New Roman" w:hAnsi="Times New Roman" w:cs="Mongolian Baiti"/>
            <w:noProof/>
            <w:color w:val="000000"/>
            <w:sz w:val="24"/>
            <w:szCs w:val="22"/>
          </w:rPr>
          <w:t>20</w:t>
        </w:r>
        <w:r w:rsidR="00DC4C6C" w:rsidRPr="00DC4C6C">
          <w:rPr>
            <w:rFonts w:ascii="Times New Roman" w:hAnsi="Times New Roman" w:cs="Mongolian Baiti"/>
            <w:color w:val="000000"/>
            <w:sz w:val="24"/>
            <w:szCs w:val="22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color w:val="000000"/>
          <w:szCs w:val="28"/>
          <w:lang w:bidi="mn-Mong-CN"/>
        </w:rPr>
      </w:pPr>
      <w:hyperlink w:anchor="_Toc73450700" w:history="1">
        <w:r w:rsidR="00DC4C6C" w:rsidRPr="00DC4C6C">
          <w:rPr>
            <w:rFonts w:ascii="宋体" w:hAnsi="宋体" w:hint="eastAsia"/>
            <w:b/>
            <w:bCs/>
            <w:color w:val="000000"/>
            <w:kern w:val="44"/>
            <w:sz w:val="24"/>
            <w:szCs w:val="21"/>
          </w:rPr>
          <w:t>本指引用词说明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begin"/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instrText xml:space="preserve"> PAGEREF _Toc73450700 \h </w:instrTex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separate"/>
        </w:r>
        <w:r w:rsidR="00DC4C6C" w:rsidRPr="00DC4C6C">
          <w:rPr>
            <w:rFonts w:ascii="Times New Roman" w:hAnsi="Times New Roman"/>
            <w:b/>
            <w:noProof/>
            <w:color w:val="000000"/>
            <w:kern w:val="0"/>
            <w:sz w:val="24"/>
            <w:szCs w:val="21"/>
          </w:rPr>
          <w:t>22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fldChar w:fldCharType="end"/>
        </w:r>
      </w:hyperlink>
    </w:p>
    <w:p w:rsidR="00DC4C6C" w:rsidRPr="00DC4C6C" w:rsidRDefault="008806DE" w:rsidP="00DC4C6C">
      <w:pPr>
        <w:tabs>
          <w:tab w:val="right" w:leader="dot" w:pos="8302"/>
        </w:tabs>
        <w:snapToGrid w:val="0"/>
        <w:spacing w:line="360" w:lineRule="auto"/>
        <w:rPr>
          <w:rFonts w:cs="Mongolian Baiti"/>
          <w:szCs w:val="28"/>
          <w:lang w:bidi="mn-Mong-CN"/>
        </w:rPr>
      </w:pPr>
      <w:hyperlink w:anchor="_Toc73450701" w:history="1">
        <w:r w:rsidR="00DC4C6C" w:rsidRPr="00DC4C6C">
          <w:rPr>
            <w:rFonts w:ascii="宋体" w:hAnsi="宋体" w:hint="eastAsia"/>
            <w:b/>
            <w:bCs/>
            <w:color w:val="000000"/>
            <w:kern w:val="44"/>
            <w:sz w:val="24"/>
            <w:szCs w:val="21"/>
          </w:rPr>
          <w:t>引用标准名录</w:t>
        </w:r>
        <w:r w:rsidR="00DC4C6C" w:rsidRPr="00DC4C6C">
          <w:rPr>
            <w:rFonts w:ascii="Times New Roman" w:hAnsi="Times New Roman"/>
            <w:b/>
            <w:color w:val="000000"/>
            <w:kern w:val="0"/>
            <w:sz w:val="24"/>
            <w:szCs w:val="21"/>
          </w:rPr>
          <w:tab/>
        </w:r>
        <w:r w:rsidR="00DC4C6C" w:rsidRPr="00DC4C6C">
          <w:rPr>
            <w:rFonts w:ascii="Times New Roman" w:hAnsi="Times New Roman" w:hint="eastAsia"/>
            <w:b/>
            <w:color w:val="000000"/>
            <w:kern w:val="0"/>
            <w:sz w:val="24"/>
            <w:szCs w:val="21"/>
          </w:rPr>
          <w:t>23</w:t>
        </w:r>
      </w:hyperlink>
    </w:p>
    <w:p w:rsidR="00DC4C6C" w:rsidRPr="00DC4C6C" w:rsidRDefault="00DC4C6C" w:rsidP="00DC4C6C">
      <w:pPr>
        <w:ind w:firstLineChars="200" w:firstLine="480"/>
        <w:rPr>
          <w:rFonts w:ascii="Times New Roman" w:hAnsi="Times New Roman" w:cs="Mongolian Baiti"/>
          <w:sz w:val="24"/>
          <w:szCs w:val="22"/>
        </w:rPr>
        <w:sectPr w:rsidR="00DC4C6C" w:rsidRPr="00DC4C6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709" w:footer="709" w:gutter="0"/>
          <w:pgNumType w:start="1"/>
          <w:cols w:space="425"/>
          <w:docGrid w:type="lines" w:linePitch="312"/>
        </w:sectPr>
      </w:pPr>
      <w:r w:rsidRPr="00DC4C6C">
        <w:rPr>
          <w:rFonts w:ascii="Times New Roman" w:hAnsi="Times New Roman" w:cs="Mongolian Baiti"/>
          <w:sz w:val="24"/>
          <w:szCs w:val="22"/>
        </w:rPr>
        <w:fldChar w:fldCharType="end"/>
      </w: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11" w:name="_Toc73450674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1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总则</w:t>
      </w:r>
      <w:bookmarkEnd w:id="11"/>
    </w:p>
    <w:p w:rsidR="00DC4C6C" w:rsidRPr="00DC4C6C" w:rsidRDefault="00DC4C6C" w:rsidP="00DC4C6C">
      <w:pPr>
        <w:tabs>
          <w:tab w:val="left" w:pos="744"/>
        </w:tabs>
        <w:adjustRightInd w:val="0"/>
        <w:spacing w:line="360" w:lineRule="auto"/>
        <w:ind w:firstLineChars="98" w:firstLine="236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b/>
          <w:sz w:val="24"/>
        </w:rPr>
        <w:t>1.0.1</w:t>
      </w:r>
      <w:r w:rsidRPr="00DC4C6C">
        <w:rPr>
          <w:rFonts w:ascii="Times New Roman" w:hAnsi="Times New Roman" w:cs="Mongolian Baiti"/>
          <w:sz w:val="24"/>
        </w:rPr>
        <w:t xml:space="preserve">  </w:t>
      </w:r>
      <w:r w:rsidRPr="00DC4C6C">
        <w:rPr>
          <w:rFonts w:ascii="Times New Roman" w:hAnsi="宋体" w:cs="Mongolian Baiti" w:hint="eastAsia"/>
          <w:sz w:val="24"/>
        </w:rPr>
        <w:t>为</w:t>
      </w:r>
      <w:r w:rsidRPr="00DC4C6C">
        <w:rPr>
          <w:rFonts w:ascii="Times New Roman" w:hAnsi="宋体" w:cs="Mongolian Baiti"/>
          <w:sz w:val="24"/>
        </w:rPr>
        <w:t>促进广</w:t>
      </w:r>
      <w:r w:rsidRPr="00DC4C6C">
        <w:rPr>
          <w:rFonts w:ascii="Times New Roman" w:hAnsi="宋体" w:cs="Mongolian Baiti" w:hint="eastAsia"/>
          <w:sz w:val="24"/>
        </w:rPr>
        <w:t>州市</w:t>
      </w:r>
      <w:r w:rsidRPr="00DC4C6C">
        <w:rPr>
          <w:rFonts w:ascii="Times New Roman" w:hAnsi="宋体" w:cs="Mongolian Baiti"/>
          <w:sz w:val="24"/>
        </w:rPr>
        <w:t>机制砂的规范</w:t>
      </w:r>
      <w:r w:rsidRPr="00DC4C6C">
        <w:rPr>
          <w:rFonts w:ascii="Times New Roman" w:hAnsi="宋体" w:cs="Mongolian Baiti" w:hint="eastAsia"/>
          <w:sz w:val="24"/>
        </w:rPr>
        <w:t>生产</w:t>
      </w:r>
      <w:r w:rsidRPr="00DC4C6C">
        <w:rPr>
          <w:rFonts w:ascii="Times New Roman" w:hAnsi="宋体" w:cs="Mongolian Baiti"/>
          <w:sz w:val="24"/>
        </w:rPr>
        <w:t>，保证机制砂</w:t>
      </w:r>
      <w:r w:rsidRPr="00DC4C6C">
        <w:rPr>
          <w:rFonts w:ascii="Times New Roman" w:hAnsi="宋体" w:cs="Mongolian Baiti" w:hint="eastAsia"/>
          <w:sz w:val="24"/>
        </w:rPr>
        <w:t>的品质</w:t>
      </w:r>
      <w:r w:rsidRPr="00DC4C6C">
        <w:rPr>
          <w:rFonts w:ascii="Times New Roman" w:hAnsi="宋体" w:cs="Mongolian Baiti"/>
          <w:sz w:val="24"/>
        </w:rPr>
        <w:t>，特制定本</w:t>
      </w:r>
      <w:r w:rsidRPr="00DC4C6C">
        <w:rPr>
          <w:rFonts w:ascii="Times New Roman" w:hAnsi="宋体" w:cs="Mongolian Baiti" w:hint="eastAsia"/>
          <w:sz w:val="24"/>
        </w:rPr>
        <w:t>指引</w:t>
      </w:r>
      <w:r w:rsidRPr="00DC4C6C">
        <w:rPr>
          <w:rFonts w:ascii="Times New Roman" w:hAnsi="宋体" w:cs="Mongolian Baiti"/>
          <w:sz w:val="24"/>
        </w:rPr>
        <w:t>。</w:t>
      </w:r>
    </w:p>
    <w:p w:rsidR="00DC4C6C" w:rsidRPr="00DC4C6C" w:rsidRDefault="00DC4C6C" w:rsidP="00DC4C6C">
      <w:pPr>
        <w:tabs>
          <w:tab w:val="left" w:pos="744"/>
        </w:tabs>
        <w:adjustRightInd w:val="0"/>
        <w:spacing w:line="360" w:lineRule="auto"/>
        <w:ind w:firstLineChars="98" w:firstLine="236"/>
        <w:rPr>
          <w:rFonts w:ascii="Times New Roman" w:hAnsi="宋体" w:cs="Mongolian Baiti"/>
          <w:sz w:val="24"/>
        </w:rPr>
      </w:pPr>
      <w:r w:rsidRPr="00DC4C6C">
        <w:rPr>
          <w:rFonts w:ascii="Times New Roman" w:hAnsi="Times New Roman" w:cs="Mongolian Baiti"/>
          <w:b/>
          <w:sz w:val="24"/>
        </w:rPr>
        <w:t xml:space="preserve">1.0.2  </w:t>
      </w:r>
      <w:r w:rsidRPr="00DC4C6C">
        <w:rPr>
          <w:rFonts w:ascii="Times New Roman" w:hAnsi="宋体" w:cs="Mongolian Baiti"/>
          <w:sz w:val="24"/>
        </w:rPr>
        <w:t>本</w:t>
      </w:r>
      <w:r w:rsidRPr="00DC4C6C">
        <w:rPr>
          <w:rFonts w:ascii="Times New Roman" w:hAnsi="宋体" w:cs="Mongolian Baiti" w:hint="eastAsia"/>
          <w:sz w:val="24"/>
        </w:rPr>
        <w:t>指引</w:t>
      </w:r>
      <w:r w:rsidRPr="00DC4C6C">
        <w:rPr>
          <w:rFonts w:ascii="Times New Roman" w:hAnsi="宋体" w:cs="Mongolian Baiti"/>
          <w:sz w:val="24"/>
        </w:rPr>
        <w:t>适用于</w:t>
      </w:r>
      <w:r w:rsidRPr="00DC4C6C">
        <w:rPr>
          <w:rFonts w:ascii="Times New Roman" w:hAnsi="宋体" w:cs="Mongolian Baiti" w:hint="eastAsia"/>
          <w:sz w:val="24"/>
        </w:rPr>
        <w:t>建设用机制砂的生产。</w:t>
      </w:r>
    </w:p>
    <w:p w:rsidR="00DC4C6C" w:rsidRPr="00DC4C6C" w:rsidRDefault="00DC4C6C" w:rsidP="00DC4C6C">
      <w:pPr>
        <w:tabs>
          <w:tab w:val="left" w:pos="744"/>
        </w:tabs>
        <w:adjustRightInd w:val="0"/>
        <w:spacing w:line="360" w:lineRule="auto"/>
        <w:ind w:firstLineChars="98" w:firstLine="236"/>
        <w:rPr>
          <w:rFonts w:ascii="Times New Roman" w:hAnsi="宋体" w:cs="Mongolian Baiti"/>
          <w:sz w:val="24"/>
        </w:rPr>
        <w:sectPr w:rsidR="00DC4C6C" w:rsidRPr="00DC4C6C">
          <w:footerReference w:type="default" r:id="rId13"/>
          <w:pgSz w:w="11906" w:h="16838"/>
          <w:pgMar w:top="1440" w:right="1797" w:bottom="1440" w:left="1797" w:header="709" w:footer="709" w:gutter="0"/>
          <w:pgNumType w:start="1"/>
          <w:cols w:space="425"/>
          <w:docGrid w:type="lines" w:linePitch="312"/>
        </w:sectPr>
      </w:pPr>
      <w:r w:rsidRPr="00DC4C6C">
        <w:rPr>
          <w:rFonts w:ascii="Times New Roman" w:hAnsi="Times New Roman" w:cs="Mongolian Baiti"/>
          <w:b/>
          <w:sz w:val="24"/>
        </w:rPr>
        <w:t>1.0.</w:t>
      </w:r>
      <w:r w:rsidRPr="00DC4C6C">
        <w:rPr>
          <w:rFonts w:ascii="Times New Roman" w:hAnsi="Times New Roman" w:cs="Mongolian Baiti" w:hint="eastAsia"/>
          <w:b/>
          <w:sz w:val="24"/>
        </w:rPr>
        <w:t>3</w:t>
      </w:r>
      <w:r w:rsidRPr="00DC4C6C">
        <w:rPr>
          <w:rFonts w:ascii="Times New Roman" w:hAnsi="Times New Roman" w:cs="Mongolian Baiti"/>
          <w:b/>
          <w:sz w:val="24"/>
        </w:rPr>
        <w:t xml:space="preserve">  </w:t>
      </w:r>
      <w:r w:rsidRPr="00DC4C6C">
        <w:rPr>
          <w:rFonts w:ascii="Times New Roman" w:hAnsi="宋体" w:cs="Mongolian Baiti"/>
          <w:sz w:val="24"/>
        </w:rPr>
        <w:t>机制砂</w:t>
      </w:r>
      <w:r w:rsidRPr="00DC4C6C">
        <w:rPr>
          <w:rFonts w:ascii="Times New Roman" w:hAnsi="宋体" w:cs="Mongolian Baiti" w:hint="eastAsia"/>
          <w:sz w:val="24"/>
        </w:rPr>
        <w:t>的生</w:t>
      </w:r>
      <w:proofErr w:type="gramStart"/>
      <w:r w:rsidRPr="00DC4C6C">
        <w:rPr>
          <w:rFonts w:ascii="Times New Roman" w:hAnsi="宋体" w:cs="Mongolian Baiti" w:hint="eastAsia"/>
          <w:sz w:val="24"/>
        </w:rPr>
        <w:t>产</w:t>
      </w:r>
      <w:r w:rsidRPr="00DC4C6C">
        <w:rPr>
          <w:rFonts w:ascii="Times New Roman" w:hAnsi="宋体" w:cs="Mongolian Baiti"/>
          <w:sz w:val="24"/>
        </w:rPr>
        <w:t>除</w:t>
      </w:r>
      <w:proofErr w:type="gramEnd"/>
      <w:r w:rsidRPr="00DC4C6C">
        <w:rPr>
          <w:rFonts w:ascii="Times New Roman" w:hAnsi="宋体" w:cs="Mongolian Baiti"/>
          <w:sz w:val="24"/>
        </w:rPr>
        <w:t>应符合本</w:t>
      </w:r>
      <w:r w:rsidRPr="00DC4C6C">
        <w:rPr>
          <w:rFonts w:ascii="Times New Roman" w:hAnsi="宋体" w:cs="Mongolian Baiti" w:hint="eastAsia"/>
          <w:sz w:val="24"/>
        </w:rPr>
        <w:t>指引</w:t>
      </w:r>
      <w:r w:rsidRPr="00DC4C6C">
        <w:rPr>
          <w:rFonts w:ascii="Times New Roman" w:hAnsi="宋体" w:cs="Mongolian Baiti"/>
          <w:sz w:val="24"/>
        </w:rPr>
        <w:t>外，尚应符合国家</w:t>
      </w:r>
      <w:r w:rsidRPr="00DC4C6C">
        <w:rPr>
          <w:rFonts w:ascii="Times New Roman" w:hAnsi="宋体" w:cs="Mongolian Baiti" w:hint="eastAsia"/>
          <w:sz w:val="24"/>
        </w:rPr>
        <w:t>、</w:t>
      </w:r>
      <w:r w:rsidRPr="00DC4C6C">
        <w:rPr>
          <w:rFonts w:ascii="Times New Roman" w:hAnsi="宋体" w:cs="Mongolian Baiti"/>
          <w:sz w:val="24"/>
        </w:rPr>
        <w:t>行业</w:t>
      </w:r>
      <w:r w:rsidRPr="00DC4C6C">
        <w:rPr>
          <w:rFonts w:ascii="Times New Roman" w:hAnsi="宋体" w:cs="Mongolian Baiti" w:hint="eastAsia"/>
          <w:sz w:val="24"/>
        </w:rPr>
        <w:t>和</w:t>
      </w:r>
      <w:r w:rsidRPr="00DC4C6C">
        <w:rPr>
          <w:rFonts w:ascii="Times New Roman" w:hAnsi="宋体" w:cs="Mongolian Baiti"/>
          <w:sz w:val="24"/>
        </w:rPr>
        <w:t>广东省现行有关标准、规范的规定。</w:t>
      </w:r>
    </w:p>
    <w:p w:rsidR="00DC4C6C" w:rsidRPr="00DC4C6C" w:rsidRDefault="00DC4C6C" w:rsidP="00DC4C6C">
      <w:pPr>
        <w:tabs>
          <w:tab w:val="left" w:pos="744"/>
        </w:tabs>
        <w:adjustRightInd w:val="0"/>
        <w:spacing w:line="360" w:lineRule="auto"/>
        <w:ind w:firstLineChars="98" w:firstLine="235"/>
        <w:rPr>
          <w:rFonts w:ascii="Times New Roman" w:hAnsi="Times New Roman" w:cs="Mongolian Baiti"/>
          <w:sz w:val="24"/>
        </w:r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12" w:name="_Toc73450675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2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术语</w:t>
      </w:r>
      <w:bookmarkEnd w:id="12"/>
    </w:p>
    <w:p w:rsidR="00DC4C6C" w:rsidRPr="00DC4C6C" w:rsidRDefault="00DC4C6C" w:rsidP="00DC4C6C">
      <w:pPr>
        <w:spacing w:line="360" w:lineRule="auto"/>
        <w:ind w:firstLineChars="98" w:firstLine="236"/>
        <w:rPr>
          <w:rFonts w:ascii="Times New Roman" w:hAnsi="Times New Roman" w:cs="Mongolian Baiti"/>
          <w:sz w:val="24"/>
        </w:rPr>
      </w:pPr>
      <w:bookmarkStart w:id="13" w:name="OLE_LINK8"/>
      <w:bookmarkStart w:id="14" w:name="OLE_LINK9"/>
      <w:r w:rsidRPr="00DC4C6C">
        <w:rPr>
          <w:rFonts w:ascii="Times New Roman" w:hAnsi="Times New Roman" w:cs="Mongolian Baiti"/>
          <w:b/>
          <w:bCs/>
          <w:sz w:val="24"/>
        </w:rPr>
        <w:t xml:space="preserve">2.0.1 </w:t>
      </w:r>
      <w:r w:rsidRPr="00DC4C6C">
        <w:rPr>
          <w:rFonts w:ascii="Times New Roman" w:hAnsi="Times New Roman" w:cs="Mongolian Baiti" w:hint="eastAsia"/>
          <w:b/>
          <w:bCs/>
          <w:sz w:val="24"/>
        </w:rPr>
        <w:t xml:space="preserve"> </w:t>
      </w:r>
      <w:r w:rsidRPr="00DC4C6C">
        <w:rPr>
          <w:rFonts w:ascii="Times New Roman" w:hAnsi="宋体" w:cs="Mongolian Baiti"/>
          <w:sz w:val="24"/>
        </w:rPr>
        <w:t>机制砂</w:t>
      </w:r>
      <w:r w:rsidRPr="00DC4C6C">
        <w:rPr>
          <w:rFonts w:ascii="Times New Roman" w:hAnsi="Times New Roman" w:cs="Mongolian Baiti"/>
          <w:sz w:val="24"/>
        </w:rPr>
        <w:t xml:space="preserve"> manufactured sand</w:t>
      </w:r>
    </w:p>
    <w:p w:rsidR="00DC4C6C" w:rsidRPr="00DC4C6C" w:rsidRDefault="00DC4C6C" w:rsidP="00DC4C6C">
      <w:pPr>
        <w:spacing w:line="360" w:lineRule="auto"/>
        <w:ind w:firstLineChars="300" w:firstLine="720"/>
        <w:rPr>
          <w:rFonts w:ascii="Times New Roman" w:hAnsi="宋体" w:cs="Mongolian Baiti"/>
          <w:sz w:val="24"/>
        </w:rPr>
      </w:pPr>
      <w:proofErr w:type="gramStart"/>
      <w:r w:rsidRPr="00DC4C6C">
        <w:rPr>
          <w:rFonts w:ascii="Times New Roman" w:hAnsi="宋体" w:cs="Mongolian Baiti"/>
          <w:sz w:val="24"/>
        </w:rPr>
        <w:t>经除土</w:t>
      </w:r>
      <w:r w:rsidRPr="00DC4C6C">
        <w:rPr>
          <w:rFonts w:ascii="Times New Roman" w:hAnsi="宋体" w:cs="Mongolian Baiti" w:hint="eastAsia"/>
          <w:sz w:val="24"/>
        </w:rPr>
        <w:t>处理</w:t>
      </w:r>
      <w:proofErr w:type="gramEnd"/>
      <w:r w:rsidRPr="00DC4C6C">
        <w:rPr>
          <w:rFonts w:ascii="Times New Roman" w:hAnsi="宋体" w:cs="Mongolian Baiti" w:hint="eastAsia"/>
          <w:sz w:val="24"/>
        </w:rPr>
        <w:t>，由</w:t>
      </w:r>
      <w:r w:rsidRPr="00DC4C6C">
        <w:rPr>
          <w:rFonts w:ascii="Times New Roman" w:hAnsi="宋体" w:cs="Mongolian Baiti"/>
          <w:sz w:val="24"/>
        </w:rPr>
        <w:t>机械破碎、筛分制成的粒径</w:t>
      </w:r>
      <w:r w:rsidRPr="00DC4C6C">
        <w:rPr>
          <w:rFonts w:ascii="Times New Roman" w:hAnsi="宋体" w:cs="Mongolian Baiti" w:hint="eastAsia"/>
          <w:sz w:val="24"/>
        </w:rPr>
        <w:t>小于</w:t>
      </w:r>
      <w:r w:rsidRPr="00DC4C6C">
        <w:rPr>
          <w:rFonts w:ascii="Times New Roman" w:hAnsi="宋体" w:cs="Mongolian Baiti"/>
          <w:sz w:val="24"/>
        </w:rPr>
        <w:t>4.75 mm</w:t>
      </w:r>
      <w:r w:rsidRPr="00DC4C6C">
        <w:rPr>
          <w:rFonts w:ascii="Times New Roman" w:hAnsi="宋体" w:cs="Mongolian Baiti"/>
          <w:sz w:val="24"/>
        </w:rPr>
        <w:t>的岩石</w:t>
      </w:r>
      <w:r w:rsidRPr="00DC4C6C">
        <w:rPr>
          <w:rFonts w:ascii="Times New Roman" w:hAnsi="宋体" w:cs="Mongolian Baiti" w:hint="eastAsia"/>
          <w:sz w:val="24"/>
        </w:rPr>
        <w:t>或矿山尾矿</w:t>
      </w:r>
      <w:r w:rsidRPr="00DC4C6C">
        <w:rPr>
          <w:rFonts w:ascii="Times New Roman" w:hAnsi="宋体" w:cs="Mongolian Baiti"/>
          <w:sz w:val="24"/>
        </w:rPr>
        <w:t>颗粒，但不包括软质、风化的颗粒。</w:t>
      </w:r>
    </w:p>
    <w:bookmarkEnd w:id="13"/>
    <w:bookmarkEnd w:id="14"/>
    <w:p w:rsidR="00DC4C6C" w:rsidRPr="00DC4C6C" w:rsidRDefault="00DC4C6C" w:rsidP="00DC4C6C">
      <w:pPr>
        <w:spacing w:line="360" w:lineRule="auto"/>
        <w:ind w:firstLineChars="98" w:firstLine="236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b/>
          <w:bCs/>
          <w:sz w:val="24"/>
          <w:lang w:val="en-GB"/>
        </w:rPr>
        <w:t xml:space="preserve">2.0.2 </w:t>
      </w:r>
      <w:r w:rsidRPr="00DC4C6C">
        <w:rPr>
          <w:rFonts w:ascii="Times New Roman" w:hAnsi="Times New Roman" w:cs="Mongolian Baiti" w:hint="eastAsia"/>
          <w:b/>
          <w:bCs/>
          <w:sz w:val="24"/>
          <w:lang w:val="en-GB"/>
        </w:rPr>
        <w:t xml:space="preserve"> </w:t>
      </w:r>
      <w:r w:rsidRPr="00DC4C6C">
        <w:rPr>
          <w:rFonts w:ascii="Times New Roman" w:hAnsi="宋体" w:cs="Mongolian Baiti" w:hint="eastAsia"/>
          <w:sz w:val="24"/>
        </w:rPr>
        <w:t>石粉含量</w:t>
      </w:r>
      <w:r w:rsidRPr="00DC4C6C">
        <w:rPr>
          <w:rFonts w:ascii="Times New Roman" w:hAnsi="宋体" w:cs="Mongolian Baiti" w:hint="eastAsia"/>
          <w:sz w:val="24"/>
        </w:rPr>
        <w:t xml:space="preserve"> </w:t>
      </w:r>
      <w:r w:rsidRPr="00DC4C6C">
        <w:rPr>
          <w:rFonts w:ascii="Times New Roman" w:hAnsi="宋体" w:cs="Mongolian Baiti"/>
          <w:sz w:val="24"/>
        </w:rPr>
        <w:t xml:space="preserve">content of rock powder or crushed </w:t>
      </w:r>
      <w:r w:rsidRPr="00DC4C6C">
        <w:rPr>
          <w:rFonts w:ascii="Times New Roman" w:hAnsi="宋体" w:cs="Mongolian Baiti" w:hint="eastAsia"/>
          <w:sz w:val="24"/>
        </w:rPr>
        <w:t>rock fines</w:t>
      </w:r>
      <w:r w:rsidRPr="00DC4C6C">
        <w:rPr>
          <w:rFonts w:ascii="Times New Roman" w:hAnsi="宋体" w:cs="Mongolian Baiti"/>
          <w:sz w:val="24"/>
        </w:rPr>
        <w:t xml:space="preserve"> </w:t>
      </w:r>
    </w:p>
    <w:p w:rsidR="00DC4C6C" w:rsidRPr="00DC4C6C" w:rsidRDefault="00DC4C6C" w:rsidP="00DC4C6C">
      <w:pPr>
        <w:spacing w:line="360" w:lineRule="auto"/>
        <w:ind w:firstLineChars="300" w:firstLine="720"/>
        <w:rPr>
          <w:rFonts w:ascii="Times New Roman" w:hAnsi="宋体" w:cs="Mongolian Baiti"/>
          <w:sz w:val="24"/>
        </w:rPr>
      </w:pPr>
      <w:r w:rsidRPr="00DC4C6C">
        <w:rPr>
          <w:rFonts w:ascii="Times New Roman" w:hAnsi="宋体" w:cs="Mongolian Baiti"/>
          <w:sz w:val="24"/>
        </w:rPr>
        <w:t>机制砂中粒径小于</w:t>
      </w:r>
      <w:r w:rsidRPr="00DC4C6C">
        <w:rPr>
          <w:rFonts w:ascii="Times New Roman" w:hAnsi="Times New Roman" w:cs="Mongolian Baiti"/>
          <w:sz w:val="24"/>
        </w:rPr>
        <w:t>75μm</w:t>
      </w:r>
      <w:r w:rsidRPr="00DC4C6C">
        <w:rPr>
          <w:rFonts w:ascii="Times New Roman" w:hAnsi="宋体" w:cs="Mongolian Baiti"/>
          <w:sz w:val="24"/>
        </w:rPr>
        <w:t>的颗粒含量。</w:t>
      </w:r>
    </w:p>
    <w:p w:rsidR="00DC4C6C" w:rsidRPr="00DC4C6C" w:rsidRDefault="00DC4C6C" w:rsidP="00DC4C6C">
      <w:pPr>
        <w:spacing w:line="360" w:lineRule="auto"/>
        <w:ind w:firstLineChars="98" w:firstLine="236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b/>
          <w:bCs/>
          <w:sz w:val="24"/>
        </w:rPr>
        <w:t>2.0.3</w:t>
      </w:r>
      <w:r w:rsidRPr="00DC4C6C">
        <w:rPr>
          <w:rFonts w:ascii="Times New Roman" w:hAnsi="Times New Roman" w:cs="Mongolian Baiti"/>
          <w:sz w:val="24"/>
        </w:rPr>
        <w:t xml:space="preserve"> </w:t>
      </w:r>
      <w:r w:rsidRPr="00DC4C6C">
        <w:rPr>
          <w:rFonts w:ascii="Times New Roman" w:hAnsi="Times New Roman" w:cs="Mongolian Baiti" w:hint="eastAsia"/>
          <w:sz w:val="24"/>
        </w:rPr>
        <w:t xml:space="preserve"> </w:t>
      </w:r>
      <w:r w:rsidRPr="00DC4C6C">
        <w:rPr>
          <w:rFonts w:ascii="Times New Roman" w:hAnsi="宋体" w:cs="Mongolian Baiti"/>
          <w:sz w:val="24"/>
        </w:rPr>
        <w:t>亚甲蓝</w:t>
      </w:r>
      <w:r w:rsidRPr="00DC4C6C">
        <w:rPr>
          <w:rFonts w:ascii="Times New Roman" w:hAnsi="宋体" w:cs="Mongolian Baiti" w:hint="eastAsia"/>
          <w:sz w:val="24"/>
        </w:rPr>
        <w:t>(</w:t>
      </w:r>
      <w:r w:rsidRPr="00DC4C6C">
        <w:rPr>
          <w:rFonts w:ascii="Times New Roman" w:hAnsi="Times New Roman" w:cs="Mongolian Baiti"/>
          <w:sz w:val="24"/>
        </w:rPr>
        <w:t>MB</w:t>
      </w:r>
      <w:r w:rsidRPr="00DC4C6C">
        <w:rPr>
          <w:rFonts w:ascii="Times New Roman" w:hAnsi="Times New Roman" w:cs="Mongolian Baiti" w:hint="eastAsia"/>
          <w:sz w:val="24"/>
        </w:rPr>
        <w:t>)</w:t>
      </w:r>
      <w:r w:rsidRPr="00DC4C6C">
        <w:rPr>
          <w:rFonts w:ascii="Times New Roman" w:hAnsi="宋体" w:cs="Mongolian Baiti"/>
          <w:sz w:val="24"/>
        </w:rPr>
        <w:t>值</w:t>
      </w:r>
      <w:r w:rsidRPr="00DC4C6C">
        <w:rPr>
          <w:rFonts w:ascii="Times New Roman" w:hAnsi="Times New Roman" w:cs="Mongolian Baiti"/>
          <w:sz w:val="24"/>
        </w:rPr>
        <w:t xml:space="preserve"> </w:t>
      </w:r>
      <w:r w:rsidRPr="00DC4C6C">
        <w:rPr>
          <w:rFonts w:ascii="Times New Roman" w:hAnsi="Times New Roman" w:cs="Mongolian Baiti" w:hint="eastAsia"/>
          <w:sz w:val="24"/>
        </w:rPr>
        <w:t>m</w:t>
      </w:r>
      <w:r w:rsidRPr="00DC4C6C">
        <w:rPr>
          <w:rFonts w:ascii="Times New Roman" w:hAnsi="Times New Roman" w:cs="Mongolian Baiti"/>
          <w:sz w:val="24"/>
        </w:rPr>
        <w:t>ethylene blue value</w:t>
      </w:r>
    </w:p>
    <w:p w:rsidR="00DC4C6C" w:rsidRPr="00DC4C6C" w:rsidRDefault="00DC4C6C" w:rsidP="00DC4C6C">
      <w:pPr>
        <w:adjustRightInd w:val="0"/>
        <w:spacing w:line="360" w:lineRule="auto"/>
        <w:ind w:firstLineChars="300" w:firstLine="720"/>
        <w:rPr>
          <w:rFonts w:ascii="Times New Roman" w:hAnsi="宋体" w:cs="Mongolian Baiti"/>
          <w:sz w:val="24"/>
        </w:rPr>
      </w:pPr>
      <w:r w:rsidRPr="00DC4C6C">
        <w:rPr>
          <w:rFonts w:ascii="Times New Roman" w:hAnsi="宋体" w:cs="Mongolian Baiti" w:hint="eastAsia"/>
          <w:sz w:val="24"/>
        </w:rPr>
        <w:t>用于判定机制砂中粒径小于</w:t>
      </w:r>
      <w:r w:rsidRPr="00DC4C6C">
        <w:rPr>
          <w:rFonts w:ascii="Times New Roman" w:hAnsi="宋体" w:cs="Mongolian Baiti" w:hint="eastAsia"/>
          <w:sz w:val="24"/>
        </w:rPr>
        <w:t>75</w:t>
      </w:r>
      <w:r w:rsidRPr="00DC4C6C">
        <w:rPr>
          <w:rFonts w:ascii="Times New Roman" w:hAnsi="Times New Roman"/>
          <w:sz w:val="24"/>
        </w:rPr>
        <w:t>μm</w:t>
      </w:r>
      <w:r w:rsidRPr="00DC4C6C">
        <w:rPr>
          <w:rFonts w:ascii="Times New Roman" w:hAnsi="宋体" w:cs="Mongolian Baiti" w:hint="eastAsia"/>
          <w:sz w:val="24"/>
        </w:rPr>
        <w:t>颗粒的吸附性能的指标。</w:t>
      </w:r>
    </w:p>
    <w:p w:rsidR="00DC4C6C" w:rsidRPr="00DC4C6C" w:rsidRDefault="00DC4C6C" w:rsidP="00DC4C6C">
      <w:pPr>
        <w:spacing w:line="360" w:lineRule="auto"/>
        <w:ind w:firstLineChars="98" w:firstLine="236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/>
          <w:b/>
          <w:bCs/>
          <w:sz w:val="24"/>
        </w:rPr>
        <w:t>2</w:t>
      </w:r>
      <w:r w:rsidRPr="00DC4C6C">
        <w:rPr>
          <w:rFonts w:ascii="Times New Roman" w:hAnsi="Times New Roman" w:cs="Mongolian Baiti"/>
          <w:b/>
          <w:bCs/>
          <w:sz w:val="24"/>
          <w:lang w:val="en-GB"/>
        </w:rPr>
        <w:t>.0.4</w:t>
      </w:r>
      <w:r w:rsidRPr="00DC4C6C">
        <w:rPr>
          <w:rFonts w:ascii="Times New Roman" w:hAnsi="Times New Roman" w:cs="Mongolian Baiti"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sz w:val="24"/>
          <w:lang w:val="en-GB"/>
        </w:rPr>
        <w:t xml:space="preserve"> </w:t>
      </w:r>
      <w:r w:rsidRPr="00DC4C6C">
        <w:rPr>
          <w:rFonts w:ascii="Times New Roman" w:hAnsi="宋体" w:cs="Mongolian Baiti" w:hint="eastAsia"/>
          <w:sz w:val="24"/>
          <w:lang w:val="en-GB"/>
        </w:rPr>
        <w:t>工艺性质试验</w:t>
      </w:r>
      <w:r w:rsidRPr="00DC4C6C">
        <w:rPr>
          <w:rFonts w:ascii="Times New Roman" w:hAnsi="Times New Roman" w:cs="Mongolian Baiti"/>
          <w:sz w:val="24"/>
          <w:lang w:val="en-GB"/>
        </w:rPr>
        <w:t xml:space="preserve"> test for manufacturing process determination</w:t>
      </w:r>
    </w:p>
    <w:p w:rsidR="00DC4C6C" w:rsidRPr="00DC4C6C" w:rsidRDefault="00DC4C6C" w:rsidP="00DC4C6C">
      <w:pPr>
        <w:adjustRightInd w:val="0"/>
        <w:spacing w:line="360" w:lineRule="auto"/>
        <w:ind w:firstLineChars="300" w:firstLine="720"/>
        <w:rPr>
          <w:rFonts w:ascii="Times New Roman" w:hAnsi="宋体" w:cs="Mongolian Baiti"/>
          <w:sz w:val="24"/>
        </w:rPr>
      </w:pPr>
      <w:r w:rsidRPr="00DC4C6C">
        <w:rPr>
          <w:rFonts w:ascii="Times New Roman" w:hAnsi="宋体" w:cs="Mongolian Baiti" w:hint="eastAsia"/>
          <w:sz w:val="24"/>
        </w:rPr>
        <w:t>确定机制砂料源适用的生产工艺和设备的试验。</w:t>
      </w:r>
    </w:p>
    <w:p w:rsidR="00DC4C6C" w:rsidRPr="00DC4C6C" w:rsidRDefault="00DC4C6C" w:rsidP="00DC4C6C">
      <w:pPr>
        <w:spacing w:line="360" w:lineRule="auto"/>
        <w:ind w:firstLineChars="98" w:firstLine="236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b/>
          <w:bCs/>
          <w:sz w:val="24"/>
        </w:rPr>
        <w:t>2.0.5</w:t>
      </w:r>
      <w:r w:rsidRPr="00DC4C6C">
        <w:rPr>
          <w:rFonts w:ascii="Times New Roman" w:hAnsi="Times New Roman" w:cs="Mongolian Baiti"/>
          <w:sz w:val="24"/>
        </w:rPr>
        <w:t xml:space="preserve"> </w:t>
      </w:r>
      <w:r w:rsidRPr="00DC4C6C">
        <w:rPr>
          <w:rFonts w:ascii="Times New Roman" w:hAnsi="Times New Roman" w:cs="Mongolian Baiti" w:hint="eastAsia"/>
          <w:sz w:val="24"/>
        </w:rPr>
        <w:t xml:space="preserve"> </w:t>
      </w:r>
      <w:r w:rsidRPr="00DC4C6C">
        <w:rPr>
          <w:rFonts w:ascii="Times New Roman" w:hAnsi="宋体" w:cs="Mongolian Baiti" w:hint="eastAsia"/>
          <w:sz w:val="24"/>
        </w:rPr>
        <w:t>机制</w:t>
      </w:r>
      <w:proofErr w:type="gramStart"/>
      <w:r w:rsidRPr="00DC4C6C">
        <w:rPr>
          <w:rFonts w:ascii="Times New Roman" w:hAnsi="宋体" w:cs="Mongolian Baiti" w:hint="eastAsia"/>
          <w:sz w:val="24"/>
        </w:rPr>
        <w:t>砂</w:t>
      </w:r>
      <w:proofErr w:type="gramEnd"/>
      <w:r w:rsidRPr="00DC4C6C">
        <w:rPr>
          <w:rFonts w:ascii="Times New Roman" w:hAnsi="宋体" w:cs="Mongolian Baiti" w:hint="eastAsia"/>
          <w:sz w:val="24"/>
        </w:rPr>
        <w:t>干法工艺</w:t>
      </w:r>
      <w:r w:rsidRPr="00DC4C6C">
        <w:rPr>
          <w:rFonts w:ascii="Times New Roman" w:hAnsi="宋体" w:cs="Mongolian Baiti" w:hint="eastAsia"/>
          <w:sz w:val="24"/>
        </w:rPr>
        <w:t xml:space="preserve"> d</w:t>
      </w:r>
      <w:r w:rsidRPr="00DC4C6C">
        <w:rPr>
          <w:rFonts w:ascii="Times New Roman" w:hAnsi="宋体" w:cs="Mongolian Baiti"/>
          <w:sz w:val="24"/>
        </w:rPr>
        <w:t>ry process for sand manufacturing</w:t>
      </w:r>
    </w:p>
    <w:p w:rsidR="00DC4C6C" w:rsidRPr="00DC4C6C" w:rsidRDefault="00DC4C6C" w:rsidP="00DC4C6C">
      <w:pPr>
        <w:spacing w:line="360" w:lineRule="auto"/>
        <w:ind w:leftChars="98" w:left="206" w:firstLineChars="200" w:firstLine="480"/>
        <w:rPr>
          <w:rFonts w:ascii="Times New Roman" w:hAnsi="宋体" w:cs="Mongolian Baiti"/>
          <w:sz w:val="24"/>
          <w:lang w:val="en-GB"/>
        </w:rPr>
      </w:pPr>
      <w:r w:rsidRPr="00DC4C6C">
        <w:rPr>
          <w:rFonts w:ascii="Times New Roman" w:hAnsi="宋体" w:cs="Mongolian Baiti" w:hint="eastAsia"/>
          <w:sz w:val="24"/>
          <w:lang w:val="en-GB"/>
        </w:rPr>
        <w:t>在干燥条件下破碎、筛分，采用干法除尘装置</w:t>
      </w:r>
      <w:r w:rsidRPr="00DC4C6C">
        <w:rPr>
          <w:rFonts w:ascii="Times New Roman" w:hAnsi="宋体" w:cs="Mongolian Baiti" w:hint="eastAsia"/>
          <w:sz w:val="24"/>
        </w:rPr>
        <w:t>滤</w:t>
      </w:r>
      <w:r w:rsidRPr="00DC4C6C">
        <w:rPr>
          <w:rFonts w:ascii="Times New Roman" w:hAnsi="宋体" w:cs="Mongolian Baiti" w:hint="eastAsia"/>
          <w:sz w:val="24"/>
          <w:lang w:val="en-GB"/>
        </w:rPr>
        <w:t>除机制砂中石粉的制砂工艺。</w:t>
      </w:r>
    </w:p>
    <w:p w:rsidR="00DC4C6C" w:rsidRPr="00DC4C6C" w:rsidRDefault="00DC4C6C" w:rsidP="00DC4C6C">
      <w:pPr>
        <w:spacing w:line="360" w:lineRule="auto"/>
        <w:ind w:firstLineChars="82" w:firstLine="198"/>
        <w:rPr>
          <w:rFonts w:ascii="Times New Roman" w:hAnsi="宋体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bCs/>
          <w:sz w:val="24"/>
        </w:rPr>
        <w:t>2.0.</w:t>
      </w:r>
      <w:r w:rsidRPr="00DC4C6C">
        <w:rPr>
          <w:rFonts w:ascii="Times New Roman" w:hAnsi="Times New Roman" w:cs="Mongolian Baiti"/>
          <w:b/>
          <w:bCs/>
          <w:sz w:val="24"/>
        </w:rPr>
        <w:t>6</w:t>
      </w:r>
      <w:r w:rsidRPr="00DC4C6C">
        <w:rPr>
          <w:rFonts w:ascii="Times New Roman" w:hAnsi="Times New Roman" w:cs="Mongolian Baiti" w:hint="eastAsia"/>
          <w:b/>
          <w:bCs/>
          <w:sz w:val="24"/>
        </w:rPr>
        <w:t xml:space="preserve">  </w:t>
      </w:r>
      <w:r w:rsidRPr="00DC4C6C">
        <w:rPr>
          <w:rFonts w:ascii="Times New Roman" w:hAnsi="宋体" w:cs="Mongolian Baiti" w:hint="eastAsia"/>
          <w:sz w:val="24"/>
          <w:lang w:val="en-GB"/>
        </w:rPr>
        <w:t>机制</w:t>
      </w:r>
      <w:proofErr w:type="gramStart"/>
      <w:r w:rsidRPr="00DC4C6C">
        <w:rPr>
          <w:rFonts w:ascii="Times New Roman" w:hAnsi="宋体" w:cs="Mongolian Baiti" w:hint="eastAsia"/>
          <w:sz w:val="24"/>
          <w:lang w:val="en-GB"/>
        </w:rPr>
        <w:t>砂</w:t>
      </w:r>
      <w:proofErr w:type="gramEnd"/>
      <w:r w:rsidRPr="00DC4C6C">
        <w:rPr>
          <w:rFonts w:ascii="Times New Roman" w:hAnsi="宋体" w:cs="Mongolian Baiti" w:hint="eastAsia"/>
          <w:sz w:val="24"/>
          <w:lang w:val="en-GB"/>
        </w:rPr>
        <w:t>湿法工艺</w:t>
      </w:r>
      <w:r w:rsidRPr="00DC4C6C">
        <w:rPr>
          <w:rFonts w:ascii="Times New Roman" w:hAnsi="宋体" w:cs="Mongolian Baiti" w:hint="eastAsia"/>
          <w:sz w:val="24"/>
          <w:lang w:val="en-GB"/>
        </w:rPr>
        <w:t xml:space="preserve"> wet</w:t>
      </w:r>
      <w:r w:rsidRPr="00DC4C6C">
        <w:rPr>
          <w:rFonts w:ascii="Times New Roman" w:hAnsi="宋体" w:cs="Mongolian Baiti"/>
          <w:sz w:val="24"/>
          <w:lang w:val="en-GB"/>
        </w:rPr>
        <w:t xml:space="preserve"> process </w:t>
      </w:r>
      <w:r w:rsidRPr="00DC4C6C">
        <w:rPr>
          <w:rFonts w:ascii="Times New Roman" w:hAnsi="宋体" w:cs="Mongolian Baiti"/>
          <w:sz w:val="24"/>
        </w:rPr>
        <w:t>for sand manufacturing</w:t>
      </w:r>
    </w:p>
    <w:p w:rsidR="00DC4C6C" w:rsidRPr="00DC4C6C" w:rsidRDefault="00DC4C6C" w:rsidP="00DC4C6C">
      <w:pPr>
        <w:spacing w:line="360" w:lineRule="auto"/>
        <w:ind w:firstLineChars="298" w:firstLine="715"/>
        <w:rPr>
          <w:rFonts w:ascii="Times New Roman" w:hAnsi="宋体" w:cs="Mongolian Baiti"/>
          <w:sz w:val="24"/>
          <w:lang w:val="en-GB"/>
        </w:rPr>
      </w:pPr>
      <w:r w:rsidRPr="00DC4C6C">
        <w:rPr>
          <w:rFonts w:ascii="Times New Roman" w:hAnsi="宋体" w:cs="Mongolian Baiti" w:hint="eastAsia"/>
          <w:sz w:val="24"/>
          <w:lang w:val="en-GB"/>
        </w:rPr>
        <w:t>在干燥或潮湿条件下破碎，采用水力分选和</w:t>
      </w:r>
      <w:r w:rsidRPr="00DC4C6C">
        <w:rPr>
          <w:rFonts w:ascii="Times New Roman" w:hAnsi="宋体" w:cs="Mongolian Baiti" w:hint="eastAsia"/>
          <w:sz w:val="24"/>
        </w:rPr>
        <w:t>滤</w:t>
      </w:r>
      <w:r w:rsidRPr="00DC4C6C">
        <w:rPr>
          <w:rFonts w:ascii="Times New Roman" w:hAnsi="宋体" w:cs="Mongolian Baiti" w:hint="eastAsia"/>
          <w:sz w:val="24"/>
          <w:lang w:val="en-GB"/>
        </w:rPr>
        <w:t>除机制砂中石粉的制砂工艺。</w:t>
      </w:r>
    </w:p>
    <w:p w:rsidR="00DC4C6C" w:rsidRPr="00DC4C6C" w:rsidRDefault="00DC4C6C" w:rsidP="00DC4C6C">
      <w:pPr>
        <w:adjustRightInd w:val="0"/>
        <w:spacing w:line="360" w:lineRule="auto"/>
        <w:ind w:firstLineChars="200" w:firstLine="480"/>
        <w:rPr>
          <w:rFonts w:ascii="Times New Roman" w:hAnsi="Times New Roman" w:cs="Mongolian Baiti"/>
          <w:sz w:val="24"/>
          <w:lang w:val="en-GB"/>
        </w:rPr>
      </w:pPr>
    </w:p>
    <w:p w:rsidR="00DC4C6C" w:rsidRPr="00DC4C6C" w:rsidRDefault="00DC4C6C" w:rsidP="00DC4C6C">
      <w:pPr>
        <w:adjustRightInd w:val="0"/>
        <w:spacing w:line="360" w:lineRule="auto"/>
        <w:ind w:firstLineChars="200" w:firstLine="480"/>
        <w:rPr>
          <w:rFonts w:ascii="Times New Roman" w:hAnsi="宋体" w:cs="Mongolian Baiti"/>
          <w:sz w:val="24"/>
          <w:lang w:val="en-GB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  <w:lang w:val="en-GB"/>
        </w:rPr>
      </w:pPr>
      <w:bookmarkStart w:id="15" w:name="_Toc73450676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 xml:space="preserve">3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>料源的选择与要求</w:t>
      </w:r>
      <w:bookmarkEnd w:id="15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3.1.</w:t>
      </w:r>
      <w:r w:rsidRPr="00DC4C6C">
        <w:rPr>
          <w:rFonts w:ascii="Times New Roman" w:hAnsi="Times New Roman" w:cs="Mongolian Baiti"/>
          <w:b/>
          <w:sz w:val="24"/>
          <w:lang w:val="en-GB"/>
        </w:rPr>
        <w:t>1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应选择质地坚硬、洁净的料源，应避免选用覆盖土层较厚、夹层含泥较多、母岩强度低以及岩石分层成</w:t>
      </w:r>
      <w:proofErr w:type="gramStart"/>
      <w:r w:rsidRPr="00DC4C6C">
        <w:rPr>
          <w:rFonts w:ascii="Times New Roman" w:hAnsi="Times New Roman" w:cs="Mongolian Baiti" w:hint="eastAsia"/>
          <w:sz w:val="24"/>
          <w:lang w:val="en-GB"/>
        </w:rPr>
        <w:t>片状等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质量差的料源。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3.1.</w:t>
      </w:r>
      <w:r w:rsidRPr="00DC4C6C">
        <w:rPr>
          <w:rFonts w:ascii="Times New Roman" w:hAnsi="Times New Roman" w:cs="Mongolian Baiti"/>
          <w:b/>
          <w:sz w:val="24"/>
          <w:lang w:val="en-GB"/>
        </w:rPr>
        <w:t>2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宜选择石灰岩、白云岩、花岗岩、凝灰岩、安山岩、石英岩、辉绿岩、砂岩和玄武岩等作为机制</w:t>
      </w:r>
      <w:proofErr w:type="gramStart"/>
      <w:r w:rsidRPr="00DC4C6C">
        <w:rPr>
          <w:rFonts w:ascii="Times New Roman" w:hAnsi="Times New Roman" w:cs="Mongolian Baiti" w:hint="eastAsia"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生产料源，也可选择河道里的卵石、矿山开采的碎石、尾矿作为料源，不宜使用页岩、板岩等料源，不得使用泥岩作为料源。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bCs/>
          <w:sz w:val="24"/>
          <w:lang w:val="en-GB"/>
        </w:rPr>
        <w:t>3.1.</w:t>
      </w:r>
      <w:r w:rsidRPr="00DC4C6C">
        <w:rPr>
          <w:rFonts w:ascii="Times New Roman" w:hAnsi="Times New Roman" w:cs="Mongolian Baiti"/>
          <w:b/>
          <w:bCs/>
          <w:sz w:val="24"/>
          <w:lang w:val="en-GB"/>
        </w:rPr>
        <w:t>3</w:t>
      </w:r>
      <w:r w:rsidRPr="00DC4C6C">
        <w:rPr>
          <w:rFonts w:ascii="Times New Roman" w:hAnsi="Times New Roman" w:cs="Mongolian Baiti" w:hint="eastAsia"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料源含泥（土）量较高时，应采取</w:t>
      </w:r>
      <w:proofErr w:type="gramStart"/>
      <w:r w:rsidRPr="00DC4C6C">
        <w:rPr>
          <w:rFonts w:ascii="Times New Roman" w:hAnsi="Times New Roman" w:cs="Mongolian Baiti" w:hint="eastAsia"/>
          <w:sz w:val="24"/>
        </w:rPr>
        <w:t>预</w:t>
      </w:r>
      <w:r w:rsidRPr="00DC4C6C">
        <w:rPr>
          <w:rFonts w:ascii="Times New Roman" w:hAnsi="Times New Roman" w:cs="Mongolian Baiti" w:hint="eastAsia"/>
          <w:sz w:val="24"/>
          <w:lang w:val="en-GB"/>
        </w:rPr>
        <w:t>除泥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（土）工艺。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bCs/>
          <w:sz w:val="24"/>
          <w:lang w:val="en-GB"/>
        </w:rPr>
        <w:t>3</w:t>
      </w:r>
      <w:r w:rsidRPr="00DC4C6C">
        <w:rPr>
          <w:rFonts w:ascii="Times New Roman" w:hAnsi="Times New Roman" w:cs="Mongolian Baiti"/>
          <w:b/>
          <w:bCs/>
          <w:sz w:val="24"/>
          <w:lang w:val="en-GB"/>
        </w:rPr>
        <w:t>.1.4</w:t>
      </w:r>
      <w:r w:rsidRPr="00DC4C6C">
        <w:rPr>
          <w:rFonts w:ascii="Times New Roman" w:hAnsi="Times New Roman" w:cs="Mongolian Baiti"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料源开采前，应选取代表性样本对料源的母岩抗压强度或压碎指标、饱和面干吸水率、碱活性、放射性核素限量进行检验，确保料源特性满足本指引的规定。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bCs/>
          <w:sz w:val="24"/>
          <w:lang w:val="en-GB"/>
        </w:rPr>
        <w:t xml:space="preserve">3.1.5  </w:t>
      </w:r>
      <w:r w:rsidRPr="00DC4C6C">
        <w:rPr>
          <w:rFonts w:ascii="Times New Roman" w:hAnsi="Times New Roman" w:cs="宋体" w:hint="eastAsia"/>
          <w:sz w:val="24"/>
          <w:szCs w:val="21"/>
        </w:rPr>
        <w:t>以矿山岩石作为机制砂料源时，宜优选岩性单一的原生矿山岩石；当料源为非单一岩性岩石时，应确认料源母岩符合要求，性能稳定，且单一岩性岩石能够成区段成规模。以卵石、碎石或尾矿作为机制砂料源时，宜选择单一岩性的卵石、碎石或尾矿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3.1.6</w:t>
      </w:r>
      <w:r w:rsidRPr="00DC4C6C">
        <w:rPr>
          <w:rFonts w:ascii="Times New Roman" w:hAnsi="Times New Roman" w:cs="Mongolian Baiti" w:hint="eastAsia"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用于生产机制砂的母岩抗压强度应符合表</w:t>
      </w:r>
      <w:r w:rsidRPr="00DC4C6C">
        <w:rPr>
          <w:rFonts w:ascii="Times New Roman" w:hAnsi="Times New Roman" w:cs="Mongolian Baiti" w:hint="eastAsia"/>
          <w:sz w:val="24"/>
          <w:lang w:val="en-GB"/>
        </w:rPr>
        <w:t>3.1.</w:t>
      </w:r>
      <w:r w:rsidRPr="00DC4C6C">
        <w:rPr>
          <w:rFonts w:ascii="Times New Roman" w:hAnsi="Times New Roman" w:cs="Mongolian Baiti" w:hint="eastAsia"/>
          <w:sz w:val="24"/>
        </w:rPr>
        <w:t>6-1</w:t>
      </w:r>
      <w:r w:rsidRPr="00DC4C6C">
        <w:rPr>
          <w:rFonts w:ascii="Times New Roman" w:hAnsi="Times New Roman" w:cs="Mongolian Baiti" w:hint="eastAsia"/>
          <w:sz w:val="24"/>
          <w:lang w:val="en-GB"/>
        </w:rPr>
        <w:t>的规定；以卵石、碎石以及尾矿作为料源，则其破碎后的砂粒压碎值须满足本指引表</w:t>
      </w:r>
      <w:r w:rsidRPr="00DC4C6C">
        <w:rPr>
          <w:rFonts w:ascii="Times New Roman" w:hAnsi="Times New Roman" w:cs="Mongolian Baiti" w:hint="eastAsia"/>
          <w:sz w:val="24"/>
          <w:lang w:val="en-GB"/>
        </w:rPr>
        <w:t>3.1.6-2</w:t>
      </w:r>
      <w:r w:rsidRPr="00DC4C6C">
        <w:rPr>
          <w:rFonts w:ascii="Times New Roman" w:hAnsi="Times New Roman" w:cs="Mongolian Baiti" w:hint="eastAsia"/>
          <w:sz w:val="24"/>
          <w:lang w:val="en-GB"/>
        </w:rPr>
        <w:t>的规定。</w:t>
      </w:r>
    </w:p>
    <w:p w:rsidR="00DC4C6C" w:rsidRPr="00DC4C6C" w:rsidRDefault="00DC4C6C" w:rsidP="00DC4C6C">
      <w:pPr>
        <w:adjustRightInd w:val="0"/>
        <w:spacing w:beforeLines="50" w:before="156" w:afterLines="50" w:after="156"/>
        <w:jc w:val="center"/>
        <w:rPr>
          <w:rFonts w:ascii="Times New Roman" w:eastAsia="黑体" w:hAnsi="Times New Roman" w:cs="Mongolian Baiti"/>
          <w:b/>
          <w:lang w:val="en-GB"/>
        </w:rPr>
      </w:pPr>
      <w:bookmarkStart w:id="16" w:name="_Hlk56807085"/>
      <w:r w:rsidRPr="00DC4C6C">
        <w:rPr>
          <w:rFonts w:ascii="Times New Roman" w:eastAsia="黑体" w:hAnsi="Times New Roman" w:cs="Mongolian Baiti" w:hint="eastAsia"/>
          <w:b/>
          <w:lang w:val="en-GB"/>
        </w:rPr>
        <w:t>表</w:t>
      </w:r>
      <w:r w:rsidRPr="00DC4C6C">
        <w:rPr>
          <w:rFonts w:ascii="Times New Roman" w:eastAsia="黑体" w:hAnsi="Times New Roman" w:cs="Mongolian Baiti"/>
          <w:b/>
          <w:lang w:val="en-GB"/>
        </w:rPr>
        <w:t>3.1.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6-1</w:t>
      </w:r>
      <w:r w:rsidRPr="00DC4C6C">
        <w:rPr>
          <w:rFonts w:ascii="Times New Roman" w:eastAsia="黑体" w:hAnsi="Times New Roman" w:cs="Mongolian Baiti"/>
          <w:b/>
          <w:lang w:val="en-GB"/>
        </w:rPr>
        <w:t xml:space="preserve">  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机制</w:t>
      </w:r>
      <w:proofErr w:type="gramStart"/>
      <w:r w:rsidRPr="00DC4C6C">
        <w:rPr>
          <w:rFonts w:ascii="Times New Roman" w:eastAsia="黑体" w:hAnsi="Times New Roman" w:cs="Mongolian Baiti" w:hint="eastAsia"/>
          <w:b/>
          <w:lang w:val="en-GB"/>
        </w:rPr>
        <w:t>砂</w:t>
      </w:r>
      <w:proofErr w:type="gramEnd"/>
      <w:r w:rsidRPr="00DC4C6C">
        <w:rPr>
          <w:rFonts w:ascii="Times New Roman" w:eastAsia="黑体" w:hAnsi="Times New Roman" w:cs="Mongolian Baiti" w:hint="eastAsia"/>
          <w:b/>
          <w:lang w:val="en-GB"/>
        </w:rPr>
        <w:t>母岩抗压强度</w:t>
      </w:r>
    </w:p>
    <w:tbl>
      <w:tblPr>
        <w:tblW w:w="8543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2136"/>
        <w:gridCol w:w="2136"/>
        <w:gridCol w:w="2136"/>
      </w:tblGrid>
      <w:tr w:rsidR="00DC4C6C" w:rsidRPr="00DC4C6C" w:rsidTr="00963F66">
        <w:trPr>
          <w:trHeight w:val="375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指标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vertAlign w:val="superscript"/>
              </w:rPr>
            </w:pPr>
            <w:r w:rsidRPr="00DC4C6C">
              <w:rPr>
                <w:rFonts w:ascii="Times New Roman" w:hAnsi="Times New Roman" w:cs="Mongolian Baiti" w:hint="eastAsia"/>
              </w:rPr>
              <w:t>火成岩</w:t>
            </w:r>
            <w:r w:rsidRPr="00DC4C6C">
              <w:rPr>
                <w:rFonts w:ascii="Times New Roman" w:hAnsi="Times New Roman" w:cs="Mongolian Baiti" w:hint="eastAsia"/>
                <w:vertAlign w:val="superscript"/>
              </w:rPr>
              <w:t>1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vertAlign w:val="superscript"/>
              </w:rPr>
            </w:pPr>
            <w:r w:rsidRPr="00DC4C6C">
              <w:rPr>
                <w:rFonts w:ascii="Times New Roman" w:hAnsi="Times New Roman" w:cs="Mongolian Baiti" w:hint="eastAsia"/>
              </w:rPr>
              <w:t>变质岩</w:t>
            </w:r>
            <w:r w:rsidRPr="00DC4C6C">
              <w:rPr>
                <w:rFonts w:ascii="Times New Roman" w:hAnsi="Times New Roman" w:cs="Mongolian Baiti" w:hint="eastAsia"/>
                <w:vertAlign w:val="superscript"/>
              </w:rPr>
              <w:t>2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vertAlign w:val="superscript"/>
              </w:rPr>
            </w:pPr>
            <w:r w:rsidRPr="00DC4C6C">
              <w:rPr>
                <w:rFonts w:ascii="Times New Roman" w:hAnsi="Times New Roman" w:cs="Mongolian Baiti" w:hint="eastAsia"/>
              </w:rPr>
              <w:t>沉积岩</w:t>
            </w:r>
            <w:r w:rsidRPr="00DC4C6C">
              <w:rPr>
                <w:rFonts w:ascii="Times New Roman" w:hAnsi="Times New Roman" w:cs="Mongolian Baiti" w:hint="eastAsia"/>
                <w:vertAlign w:val="superscript"/>
              </w:rPr>
              <w:t>3</w:t>
            </w:r>
          </w:p>
        </w:tc>
      </w:tr>
      <w:tr w:rsidR="00DC4C6C" w:rsidRPr="00DC4C6C" w:rsidTr="00963F66">
        <w:trPr>
          <w:trHeight w:val="327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母岩抗压</w:t>
            </w:r>
            <w:r w:rsidRPr="00DC4C6C">
              <w:rPr>
                <w:rFonts w:ascii="Times New Roman" w:hAnsi="Times New Roman" w:cs="Mongolian Baiti"/>
              </w:rPr>
              <w:t>强度</w:t>
            </w:r>
            <w:r w:rsidRPr="00DC4C6C">
              <w:rPr>
                <w:rFonts w:ascii="Times New Roman" w:hAnsi="Times New Roman" w:cs="Mongolian Baiti" w:hint="eastAsia"/>
              </w:rPr>
              <w:t>（</w:t>
            </w:r>
            <w:r w:rsidRPr="00DC4C6C">
              <w:rPr>
                <w:rFonts w:ascii="Times New Roman" w:hAnsi="Times New Roman" w:cs="Mongolian Baiti"/>
              </w:rPr>
              <w:t>MPa</w:t>
            </w:r>
            <w:r w:rsidRPr="00DC4C6C">
              <w:rPr>
                <w:rFonts w:ascii="Times New Roman" w:hAnsi="Times New Roman" w:cs="Mongolian Baiti" w:hint="eastAsia"/>
              </w:rPr>
              <w:t>）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100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80</w:t>
            </w:r>
          </w:p>
        </w:tc>
        <w:tc>
          <w:tcPr>
            <w:tcW w:w="2136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60</w:t>
            </w:r>
          </w:p>
        </w:tc>
      </w:tr>
    </w:tbl>
    <w:bookmarkEnd w:id="16"/>
    <w:p w:rsidR="00DC4C6C" w:rsidRPr="00DC4C6C" w:rsidRDefault="00DC4C6C" w:rsidP="00DC4C6C">
      <w:pPr>
        <w:adjustRightInd w:val="0"/>
        <w:ind w:leftChars="44" w:left="722" w:hangingChars="300" w:hanging="630"/>
        <w:rPr>
          <w:rFonts w:ascii="Times New Roman" w:hAnsi="Times New Roman" w:cs="Mongolian Baiti"/>
          <w:szCs w:val="22"/>
        </w:rPr>
      </w:pPr>
      <w:r w:rsidRPr="00DC4C6C">
        <w:rPr>
          <w:rFonts w:ascii="Times New Roman" w:hAnsi="宋体" w:cs="Mongolian Baiti"/>
          <w:szCs w:val="22"/>
        </w:rPr>
        <w:t>注：</w:t>
      </w:r>
      <w:r w:rsidRPr="00DC4C6C">
        <w:rPr>
          <w:rFonts w:ascii="Times New Roman" w:hAnsi="Times New Roman" w:cs="Mongolian Baiti"/>
          <w:szCs w:val="22"/>
        </w:rPr>
        <w:t>1</w:t>
      </w:r>
      <w:r w:rsidRPr="00DC4C6C">
        <w:rPr>
          <w:rFonts w:ascii="Times New Roman" w:hAnsi="宋体" w:cs="Mongolian Baiti" w:hint="eastAsia"/>
          <w:szCs w:val="22"/>
        </w:rPr>
        <w:t>.</w:t>
      </w:r>
      <w:r w:rsidRPr="00DC4C6C">
        <w:rPr>
          <w:rFonts w:ascii="Times New Roman" w:hAnsi="宋体" w:cs="Mongolian Baiti" w:hint="eastAsia"/>
          <w:szCs w:val="22"/>
        </w:rPr>
        <w:t>常见的火成岩包括：花岗岩、</w:t>
      </w:r>
      <w:r w:rsidRPr="00DC4C6C">
        <w:rPr>
          <w:rFonts w:ascii="Times New Roman" w:hAnsi="Times New Roman" w:cs="Mongolian Baiti" w:hint="eastAsia"/>
          <w:szCs w:val="22"/>
        </w:rPr>
        <w:t>流纹岩、闪长岩、安山岩、辉长岩、玄武岩等。</w:t>
      </w:r>
    </w:p>
    <w:p w:rsidR="00DC4C6C" w:rsidRPr="00DC4C6C" w:rsidRDefault="00DC4C6C" w:rsidP="00DC4C6C">
      <w:pPr>
        <w:adjustRightInd w:val="0"/>
        <w:ind w:leftChars="220" w:left="567" w:hangingChars="50" w:hanging="105"/>
        <w:rPr>
          <w:rFonts w:ascii="Times New Roman" w:hAnsi="宋体" w:cs="Mongolian Baiti"/>
          <w:szCs w:val="22"/>
        </w:rPr>
      </w:pPr>
      <w:r w:rsidRPr="00DC4C6C">
        <w:rPr>
          <w:rFonts w:ascii="Times New Roman" w:hAnsi="Times New Roman" w:cs="Mongolian Baiti"/>
          <w:szCs w:val="22"/>
        </w:rPr>
        <w:t>2</w:t>
      </w:r>
      <w:r w:rsidRPr="00DC4C6C">
        <w:rPr>
          <w:rFonts w:ascii="Times New Roman" w:hAnsi="宋体" w:cs="Mongolian Baiti" w:hint="eastAsia"/>
          <w:szCs w:val="22"/>
        </w:rPr>
        <w:t>.</w:t>
      </w:r>
      <w:r w:rsidRPr="00DC4C6C">
        <w:rPr>
          <w:rFonts w:ascii="Times New Roman" w:hAnsi="宋体" w:cs="Mongolian Baiti" w:hint="eastAsia"/>
          <w:szCs w:val="22"/>
        </w:rPr>
        <w:t>常见的变质岩包括：石英岩、大理岩、斜长角闪岩、麻粒岩等。</w:t>
      </w:r>
    </w:p>
    <w:p w:rsidR="00DC4C6C" w:rsidRPr="00DC4C6C" w:rsidRDefault="00DC4C6C" w:rsidP="00DC4C6C">
      <w:pPr>
        <w:adjustRightInd w:val="0"/>
        <w:ind w:leftChars="220" w:left="567" w:hangingChars="50" w:hanging="105"/>
        <w:rPr>
          <w:rFonts w:ascii="Times New Roman" w:hAnsi="Times New Roman" w:cs="Mongolian Baiti"/>
          <w:szCs w:val="21"/>
        </w:rPr>
      </w:pPr>
      <w:r w:rsidRPr="00DC4C6C">
        <w:rPr>
          <w:rFonts w:ascii="Times New Roman" w:hAnsi="宋体" w:cs="Mongolian Baiti" w:hint="eastAsia"/>
          <w:szCs w:val="22"/>
        </w:rPr>
        <w:t>3.</w:t>
      </w:r>
      <w:r w:rsidRPr="00DC4C6C">
        <w:rPr>
          <w:rFonts w:ascii="Times New Roman" w:hAnsi="宋体" w:cs="Mongolian Baiti" w:hint="eastAsia"/>
          <w:szCs w:val="22"/>
        </w:rPr>
        <w:t>常见的沉积岩包括：</w:t>
      </w:r>
      <w:r w:rsidRPr="00DC4C6C">
        <w:rPr>
          <w:rFonts w:ascii="Times New Roman" w:hAnsi="Times New Roman" w:cs="Mongolian Baiti" w:hint="eastAsia"/>
          <w:szCs w:val="21"/>
        </w:rPr>
        <w:t>砾岩、砂岩、页岩、石灰岩等。</w:t>
      </w:r>
    </w:p>
    <w:p w:rsidR="00DC4C6C" w:rsidRPr="00DC4C6C" w:rsidRDefault="00DC4C6C" w:rsidP="00DC4C6C">
      <w:pPr>
        <w:adjustRightInd w:val="0"/>
        <w:spacing w:beforeLines="50" w:before="156" w:afterLines="50" w:after="156"/>
        <w:ind w:firstLine="422"/>
        <w:jc w:val="center"/>
        <w:rPr>
          <w:rFonts w:ascii="Times New Roman" w:eastAsia="黑体" w:hAnsi="Times New Roman" w:cs="Mongolian Baiti"/>
          <w:b/>
          <w:lang w:val="en-GB"/>
        </w:rPr>
      </w:pPr>
      <w:r w:rsidRPr="00DC4C6C">
        <w:rPr>
          <w:rFonts w:ascii="Times New Roman" w:eastAsia="黑体" w:hAnsi="Times New Roman" w:cs="Mongolian Baiti"/>
          <w:b/>
          <w:lang w:val="en-GB"/>
        </w:rPr>
        <w:t>表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 xml:space="preserve">3.1.6-2  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破碎后的砂粒</w:t>
      </w:r>
      <w:r w:rsidRPr="00DC4C6C">
        <w:rPr>
          <w:rFonts w:ascii="Times New Roman" w:eastAsia="黑体" w:hAnsi="Times New Roman" w:cs="Mongolian Baiti"/>
          <w:b/>
          <w:lang w:val="en-GB"/>
        </w:rPr>
        <w:t>压碎值指标</w:t>
      </w:r>
    </w:p>
    <w:tbl>
      <w:tblPr>
        <w:tblW w:w="8545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8"/>
        <w:gridCol w:w="1969"/>
        <w:gridCol w:w="1969"/>
        <w:gridCol w:w="1969"/>
      </w:tblGrid>
      <w:tr w:rsidR="00DC4C6C" w:rsidRPr="00DC4C6C" w:rsidTr="00963F66">
        <w:trPr>
          <w:cantSplit/>
          <w:trHeight w:val="347"/>
          <w:jc w:val="center"/>
        </w:trPr>
        <w:tc>
          <w:tcPr>
            <w:tcW w:w="2638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/>
                <w:szCs w:val="21"/>
              </w:rPr>
              <w:t>项目</w:t>
            </w:r>
          </w:p>
        </w:tc>
        <w:tc>
          <w:tcPr>
            <w:tcW w:w="5907" w:type="dxa"/>
            <w:gridSpan w:val="3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/>
                <w:szCs w:val="21"/>
              </w:rPr>
              <w:t>指标</w:t>
            </w:r>
          </w:p>
        </w:tc>
      </w:tr>
      <w:tr w:rsidR="00DC4C6C" w:rsidRPr="00DC4C6C" w:rsidTr="00963F66">
        <w:trPr>
          <w:cantSplit/>
          <w:trHeight w:val="186"/>
          <w:jc w:val="center"/>
        </w:trPr>
        <w:tc>
          <w:tcPr>
            <w:tcW w:w="2638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  <w:vertAlign w:val="superscript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等级</w:t>
            </w:r>
            <w:r w:rsidRPr="00DC4C6C">
              <w:rPr>
                <w:rFonts w:ascii="Times New Roman" w:hAnsi="Times New Roman" w:cs="Mongolian Baiti" w:hint="eastAsia"/>
                <w:szCs w:val="21"/>
                <w:vertAlign w:val="superscript"/>
              </w:rPr>
              <w:t>*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宋体" w:hAnsi="宋体" w:cs="宋体" w:hint="eastAsia"/>
                <w:szCs w:val="21"/>
              </w:rPr>
              <w:t>Ⅰ</w:t>
            </w:r>
            <w:r w:rsidRPr="00DC4C6C">
              <w:rPr>
                <w:rFonts w:ascii="Times New Roman" w:hAnsi="Times New Roman" w:cs="Mongolian Baiti"/>
                <w:szCs w:val="21"/>
              </w:rPr>
              <w:t>级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宋体" w:hAnsi="宋体" w:cs="宋体" w:hint="eastAsia"/>
                <w:szCs w:val="21"/>
              </w:rPr>
              <w:t>Ⅱ</w:t>
            </w:r>
            <w:r w:rsidRPr="00DC4C6C">
              <w:rPr>
                <w:rFonts w:ascii="Times New Roman" w:hAnsi="Times New Roman" w:cs="Mongolian Baiti"/>
                <w:szCs w:val="21"/>
              </w:rPr>
              <w:t>级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宋体" w:hAnsi="宋体" w:cs="宋体" w:hint="eastAsia"/>
                <w:szCs w:val="21"/>
              </w:rPr>
              <w:t>Ⅲ</w:t>
            </w:r>
            <w:r w:rsidRPr="00DC4C6C">
              <w:rPr>
                <w:rFonts w:ascii="Times New Roman" w:hAnsi="Times New Roman" w:cs="Mongolian Baiti"/>
                <w:szCs w:val="21"/>
              </w:rPr>
              <w:t>级</w:t>
            </w:r>
          </w:p>
        </w:tc>
      </w:tr>
      <w:tr w:rsidR="00DC4C6C" w:rsidRPr="00DC4C6C" w:rsidTr="00963F66">
        <w:trPr>
          <w:trHeight w:val="149"/>
          <w:jc w:val="center"/>
        </w:trPr>
        <w:tc>
          <w:tcPr>
            <w:tcW w:w="2638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/>
                <w:szCs w:val="21"/>
              </w:rPr>
              <w:t>单级最大压碎指标（</w:t>
            </w:r>
            <w:r w:rsidRPr="00DC4C6C">
              <w:rPr>
                <w:rFonts w:ascii="Times New Roman" w:hAnsi="Times New Roman" w:cs="Mongolian Baiti"/>
                <w:szCs w:val="21"/>
              </w:rPr>
              <w:t>%</w:t>
            </w:r>
            <w:r w:rsidRPr="00DC4C6C">
              <w:rPr>
                <w:rFonts w:ascii="Times New Roman" w:hAnsi="Times New Roman" w:cs="Mongolian Baiti"/>
                <w:szCs w:val="21"/>
              </w:rPr>
              <w:t>）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  <w:lang w:val="en-GB"/>
              </w:rPr>
              <w:t>≤</w:t>
            </w:r>
            <w:r w:rsidRPr="00DC4C6C">
              <w:rPr>
                <w:rFonts w:ascii="Times New Roman" w:hAnsi="Times New Roman" w:cs="Mongolian Baiti"/>
                <w:szCs w:val="21"/>
              </w:rPr>
              <w:t>20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  <w:lang w:val="en-GB"/>
              </w:rPr>
              <w:t>≤</w:t>
            </w:r>
            <w:r w:rsidRPr="00DC4C6C">
              <w:rPr>
                <w:rFonts w:ascii="Times New Roman" w:hAnsi="Times New Roman" w:cs="Mongolian Baiti"/>
                <w:szCs w:val="21"/>
              </w:rPr>
              <w:t>25</w:t>
            </w:r>
          </w:p>
        </w:tc>
        <w:tc>
          <w:tcPr>
            <w:tcW w:w="1969" w:type="dxa"/>
            <w:vAlign w:val="center"/>
          </w:tcPr>
          <w:p w:rsidR="00DC4C6C" w:rsidRPr="00DC4C6C" w:rsidRDefault="00DC4C6C" w:rsidP="00DC4C6C">
            <w:pPr>
              <w:snapToGrid w:val="0"/>
              <w:spacing w:beforeLines="10" w:before="31" w:afterLines="10" w:after="31"/>
              <w:ind w:firstLineChars="200" w:firstLine="42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  <w:lang w:val="en-GB"/>
              </w:rPr>
              <w:t>≤</w:t>
            </w:r>
            <w:r w:rsidRPr="00DC4C6C">
              <w:rPr>
                <w:rFonts w:ascii="Times New Roman" w:hAnsi="Times New Roman" w:cs="Mongolian Baiti"/>
                <w:szCs w:val="21"/>
              </w:rPr>
              <w:t>30</w:t>
            </w:r>
          </w:p>
        </w:tc>
      </w:tr>
    </w:tbl>
    <w:p w:rsidR="00DC4C6C" w:rsidRPr="00DC4C6C" w:rsidRDefault="00DC4C6C" w:rsidP="00DC4C6C">
      <w:pPr>
        <w:adjustRightInd w:val="0"/>
        <w:rPr>
          <w:rFonts w:ascii="Times New Roman" w:hAnsi="宋体" w:cs="Mongolian Baiti"/>
          <w:szCs w:val="22"/>
        </w:rPr>
      </w:pPr>
      <w:r w:rsidRPr="00DC4C6C">
        <w:rPr>
          <w:rFonts w:ascii="Times New Roman" w:hAnsi="宋体" w:cs="Mongolian Baiti" w:hint="eastAsia"/>
          <w:szCs w:val="22"/>
        </w:rPr>
        <w:t>注：</w:t>
      </w:r>
      <w:r w:rsidRPr="00DC4C6C">
        <w:rPr>
          <w:rFonts w:ascii="Times New Roman" w:hAnsi="宋体" w:cs="Mongolian Baiti" w:hint="eastAsia"/>
          <w:szCs w:val="22"/>
        </w:rPr>
        <w:t>*</w:t>
      </w:r>
      <w:r w:rsidRPr="00DC4C6C">
        <w:rPr>
          <w:rFonts w:ascii="Times New Roman" w:hAnsi="宋体" w:cs="Mongolian Baiti" w:hint="eastAsia"/>
          <w:szCs w:val="22"/>
        </w:rPr>
        <w:t>机制砂的等级划分参考《广州市机制砂混凝土应用技术指引》。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3.1.7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母岩的饱和面干吸水率不宜大于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2.0%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，吸水率试验应将母岩加工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成机制砂后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按照现行国家标准《建设用砂》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GB/T 14684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中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7.19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节规定的试验方法执行。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3.1.8</w:t>
      </w:r>
      <w:r w:rsidRPr="00DC4C6C">
        <w:rPr>
          <w:rFonts w:ascii="Times New Roman" w:hAnsi="Times New Roman" w:cs="Mongolian Baiti" w:hint="eastAsia"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母岩的碱活性应满足：</w:t>
      </w:r>
      <w:r w:rsidRPr="00DC4C6C">
        <w:rPr>
          <w:rFonts w:ascii="Times New Roman" w:hAnsi="Times New Roman" w:cs="Mongolian Baiti" w:hint="eastAsia"/>
          <w:sz w:val="24"/>
          <w:lang w:val="en-GB"/>
        </w:rPr>
        <w:t xml:space="preserve"> 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/>
          <w:sz w:val="24"/>
          <w:szCs w:val="22"/>
          <w:lang w:val="en-GB"/>
        </w:rPr>
        <w:t>1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 xml:space="preserve">. 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不宜使用具有碱－碳酸盐反应活性的母岩生产机制砂；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/>
          <w:sz w:val="24"/>
          <w:szCs w:val="22"/>
          <w:lang w:val="en-GB"/>
        </w:rPr>
        <w:t>2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 xml:space="preserve">. 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具有碱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-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硅酸反应活性的机制</w:t>
      </w:r>
      <w:proofErr w:type="gramStart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母岩应根据使用要求进行碱骨料反应试验，快速</w:t>
      </w:r>
      <w:proofErr w:type="gramStart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砂浆棒法膨胀率</w:t>
      </w:r>
      <w:proofErr w:type="gramEnd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应小于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0.10%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3.1.9  </w:t>
      </w:r>
      <w:r w:rsidRPr="00DC4C6C">
        <w:rPr>
          <w:rFonts w:ascii="Times New Roman" w:hAnsi="Times New Roman" w:cs="Mongolian Baiti" w:hint="eastAsia"/>
          <w:sz w:val="24"/>
          <w:lang w:val="en-GB"/>
        </w:rPr>
        <w:t>机制砂料源的放射性核素限量应符合现行国家标准《建筑材料放射性核素限量》</w:t>
      </w:r>
      <w:r w:rsidRPr="00DC4C6C">
        <w:rPr>
          <w:rFonts w:ascii="Times New Roman" w:hAnsi="Times New Roman" w:cs="Mongolian Baiti"/>
          <w:sz w:val="24"/>
          <w:lang w:val="en-GB"/>
        </w:rPr>
        <w:t>GB 6566</w:t>
      </w:r>
      <w:r w:rsidRPr="00DC4C6C">
        <w:rPr>
          <w:rFonts w:ascii="Times New Roman" w:hAnsi="Times New Roman" w:cs="Mongolian Baiti" w:hint="eastAsia"/>
          <w:sz w:val="24"/>
          <w:lang w:val="en-GB"/>
        </w:rPr>
        <w:t>的规定。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0"/>
        <w:rPr>
          <w:rFonts w:ascii="Times New Roman" w:hAnsi="Times New Roman" w:cs="Mongolian Baiti"/>
          <w:sz w:val="24"/>
          <w:lang w:val="en-GB"/>
        </w:rPr>
      </w:pP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17" w:name="_Toc73450677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4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生产工艺流程</w:t>
      </w:r>
      <w:bookmarkEnd w:id="17"/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18" w:name="_Toc73450678"/>
      <w:bookmarkStart w:id="19" w:name="_Hlk56831433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4.1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一般规定</w:t>
      </w:r>
      <w:bookmarkEnd w:id="18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bookmarkStart w:id="20" w:name="_Toc375907480"/>
      <w:bookmarkEnd w:id="19"/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4.1.1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新建机制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生产企业应做好母岩矿山或卵石资源的勘察工作，查明料源母岩种类、成分、储量及开采条件。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料源开采前应做好</w:t>
      </w:r>
      <w:r w:rsidRPr="00DC4C6C">
        <w:rPr>
          <w:rFonts w:ascii="Times New Roman" w:hAnsi="Times New Roman" w:cs="Mongolian Baiti" w:hint="eastAsia"/>
          <w:bCs/>
          <w:sz w:val="24"/>
        </w:rPr>
        <w:t>安全、环保等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治理方案，开采过程中应边开采边治理。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/>
          <w:b/>
          <w:sz w:val="24"/>
          <w:lang w:val="en-GB"/>
        </w:rPr>
        <w:t>4.1.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3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bookmarkEnd w:id="20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生产企业建设规模应根据资源情况、建设条件、目标市场容量等因素，经技术经济综合比较后确定，生产规模按表</w:t>
      </w:r>
      <w:r w:rsidRPr="00DC4C6C">
        <w:rPr>
          <w:rFonts w:ascii="Times New Roman" w:hAnsi="Times New Roman" w:cs="Mongolian Baiti"/>
          <w:bCs/>
          <w:sz w:val="24"/>
          <w:lang w:val="en-GB"/>
        </w:rPr>
        <w:t>4.1.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3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划分为特大型、大型、中型和小型。</w:t>
      </w:r>
    </w:p>
    <w:p w:rsidR="00DC4C6C" w:rsidRPr="00DC4C6C" w:rsidRDefault="00DC4C6C" w:rsidP="00DC4C6C">
      <w:pPr>
        <w:adjustRightInd w:val="0"/>
        <w:spacing w:beforeLines="50" w:before="156" w:afterLines="50" w:after="156"/>
        <w:jc w:val="center"/>
        <w:rPr>
          <w:rFonts w:ascii="Times New Roman" w:eastAsia="黑体" w:hAnsi="Times New Roman" w:cs="Mongolian Baiti"/>
          <w:b/>
        </w:rPr>
      </w:pPr>
      <w:r w:rsidRPr="00DC4C6C">
        <w:rPr>
          <w:rFonts w:ascii="Times New Roman" w:eastAsia="黑体" w:hAnsi="Times New Roman" w:cs="Mongolian Baiti" w:hint="eastAsia"/>
          <w:b/>
          <w:lang w:val="en-GB"/>
        </w:rPr>
        <w:t>表</w:t>
      </w:r>
      <w:r w:rsidRPr="00DC4C6C">
        <w:rPr>
          <w:rFonts w:ascii="Times New Roman" w:eastAsia="黑体" w:hAnsi="Times New Roman" w:cs="Mongolian Baiti"/>
          <w:b/>
          <w:lang w:val="en-GB"/>
        </w:rPr>
        <w:t>4.1.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3</w:t>
      </w:r>
      <w:r w:rsidRPr="00DC4C6C">
        <w:rPr>
          <w:rFonts w:ascii="Times New Roman" w:eastAsia="黑体" w:hAnsi="Times New Roman" w:cs="Mongolian Baiti"/>
          <w:b/>
          <w:lang w:val="en-GB"/>
        </w:rPr>
        <w:t xml:space="preserve">  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机制</w:t>
      </w:r>
      <w:proofErr w:type="gramStart"/>
      <w:r w:rsidRPr="00DC4C6C">
        <w:rPr>
          <w:rFonts w:ascii="Times New Roman" w:eastAsia="黑体" w:hAnsi="Times New Roman" w:cs="Mongolian Baiti" w:hint="eastAsia"/>
          <w:b/>
          <w:lang w:val="en-GB"/>
        </w:rPr>
        <w:t>砂</w:t>
      </w:r>
      <w:proofErr w:type="gramEnd"/>
      <w:r w:rsidRPr="00DC4C6C">
        <w:rPr>
          <w:rFonts w:ascii="Times New Roman" w:eastAsia="黑体" w:hAnsi="Times New Roman" w:cs="Mongolian Baiti" w:hint="eastAsia"/>
          <w:b/>
          <w:lang w:val="en-GB"/>
        </w:rPr>
        <w:t>生产企业生产规模划分标准</w:t>
      </w:r>
    </w:p>
    <w:tbl>
      <w:tblPr>
        <w:tblW w:w="8543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6408"/>
      </w:tblGrid>
      <w:tr w:rsidR="00DC4C6C" w:rsidRPr="00DC4C6C" w:rsidTr="00963F66">
        <w:trPr>
          <w:trHeight w:val="375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规模</w:t>
            </w:r>
          </w:p>
        </w:tc>
        <w:tc>
          <w:tcPr>
            <w:tcW w:w="6408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机制</w:t>
            </w:r>
            <w:proofErr w:type="gramStart"/>
            <w:r w:rsidRPr="00DC4C6C">
              <w:rPr>
                <w:rFonts w:ascii="Times New Roman" w:hAnsi="Times New Roman" w:cs="Mongolian Baiti" w:hint="eastAsia"/>
              </w:rPr>
              <w:t>砂</w:t>
            </w:r>
            <w:proofErr w:type="gramEnd"/>
            <w:r w:rsidRPr="00DC4C6C">
              <w:rPr>
                <w:rFonts w:ascii="Times New Roman" w:hAnsi="Times New Roman" w:cs="Mongolian Baiti" w:hint="eastAsia"/>
              </w:rPr>
              <w:t>产量（万吨</w:t>
            </w:r>
            <w:r w:rsidRPr="00DC4C6C">
              <w:rPr>
                <w:rFonts w:ascii="Times New Roman" w:hAnsi="Times New Roman" w:cs="Mongolian Baiti" w:hint="eastAsia"/>
              </w:rPr>
              <w:t>/</w:t>
            </w:r>
            <w:r w:rsidRPr="00DC4C6C">
              <w:rPr>
                <w:rFonts w:ascii="Times New Roman" w:hAnsi="Times New Roman" w:cs="Mongolian Baiti" w:hint="eastAsia"/>
              </w:rPr>
              <w:t>年）</w:t>
            </w:r>
          </w:p>
        </w:tc>
      </w:tr>
      <w:tr w:rsidR="00DC4C6C" w:rsidRPr="00DC4C6C" w:rsidTr="00963F66">
        <w:trPr>
          <w:trHeight w:val="327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bCs/>
                <w:szCs w:val="21"/>
                <w:lang w:val="en-GB"/>
              </w:rPr>
              <w:t>特大型</w:t>
            </w:r>
          </w:p>
        </w:tc>
        <w:tc>
          <w:tcPr>
            <w:tcW w:w="6408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500</w:t>
            </w:r>
          </w:p>
        </w:tc>
      </w:tr>
      <w:tr w:rsidR="00DC4C6C" w:rsidRPr="00DC4C6C" w:rsidTr="00963F66">
        <w:trPr>
          <w:trHeight w:val="327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bCs/>
                <w:szCs w:val="21"/>
                <w:lang w:val="en-GB"/>
              </w:rPr>
              <w:t>大型</w:t>
            </w:r>
          </w:p>
        </w:tc>
        <w:tc>
          <w:tcPr>
            <w:tcW w:w="6408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150</w:t>
            </w:r>
            <w:r w:rsidRPr="00DC4C6C">
              <w:rPr>
                <w:rFonts w:ascii="Times New Roman" w:hAnsi="Times New Roman" w:cs="Mongolian Baiti" w:hint="eastAsia"/>
              </w:rPr>
              <w:t>，＜</w:t>
            </w:r>
            <w:r w:rsidRPr="00DC4C6C">
              <w:rPr>
                <w:rFonts w:ascii="Times New Roman" w:hAnsi="Times New Roman" w:cs="Mongolian Baiti" w:hint="eastAsia"/>
              </w:rPr>
              <w:t>500</w:t>
            </w:r>
          </w:p>
        </w:tc>
      </w:tr>
      <w:tr w:rsidR="00DC4C6C" w:rsidRPr="00DC4C6C" w:rsidTr="00963F66">
        <w:trPr>
          <w:trHeight w:val="327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bCs/>
                <w:szCs w:val="21"/>
                <w:lang w:val="en-GB"/>
              </w:rPr>
              <w:t>中型</w:t>
            </w:r>
          </w:p>
        </w:tc>
        <w:tc>
          <w:tcPr>
            <w:tcW w:w="6408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≥</w:t>
            </w:r>
            <w:r w:rsidRPr="00DC4C6C">
              <w:rPr>
                <w:rFonts w:ascii="Times New Roman" w:hAnsi="Times New Roman" w:cs="Mongolian Baiti" w:hint="eastAsia"/>
              </w:rPr>
              <w:t>30</w:t>
            </w:r>
            <w:r w:rsidRPr="00DC4C6C">
              <w:rPr>
                <w:rFonts w:ascii="Times New Roman" w:hAnsi="Times New Roman" w:cs="Mongolian Baiti" w:hint="eastAsia"/>
              </w:rPr>
              <w:t>，＜</w:t>
            </w:r>
            <w:r w:rsidRPr="00DC4C6C">
              <w:rPr>
                <w:rFonts w:ascii="Times New Roman" w:hAnsi="Times New Roman" w:cs="Mongolian Baiti" w:hint="eastAsia"/>
              </w:rPr>
              <w:t>150</w:t>
            </w:r>
          </w:p>
        </w:tc>
      </w:tr>
      <w:tr w:rsidR="00DC4C6C" w:rsidRPr="00DC4C6C" w:rsidTr="00963F66">
        <w:trPr>
          <w:trHeight w:val="327"/>
          <w:jc w:val="center"/>
        </w:trPr>
        <w:tc>
          <w:tcPr>
            <w:tcW w:w="2135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bCs/>
                <w:szCs w:val="21"/>
                <w:lang w:val="en-GB"/>
              </w:rPr>
              <w:t>小型</w:t>
            </w:r>
          </w:p>
        </w:tc>
        <w:tc>
          <w:tcPr>
            <w:tcW w:w="6408" w:type="dxa"/>
            <w:vAlign w:val="center"/>
          </w:tcPr>
          <w:p w:rsidR="00DC4C6C" w:rsidRPr="00DC4C6C" w:rsidRDefault="00DC4C6C" w:rsidP="00DC4C6C">
            <w:pPr>
              <w:spacing w:beforeLines="10" w:before="31" w:afterLines="10" w:after="31" w:line="240" w:lineRule="atLeast"/>
              <w:jc w:val="center"/>
              <w:rPr>
                <w:rFonts w:ascii="Times New Roman" w:hAnsi="Times New Roman" w:cs="Mongolian Baiti"/>
              </w:rPr>
            </w:pPr>
            <w:r w:rsidRPr="00DC4C6C">
              <w:rPr>
                <w:rFonts w:ascii="Times New Roman" w:hAnsi="Times New Roman" w:cs="Mongolian Baiti" w:hint="eastAsia"/>
              </w:rPr>
              <w:t>＜</w:t>
            </w:r>
            <w:r w:rsidRPr="00DC4C6C">
              <w:rPr>
                <w:rFonts w:ascii="Times New Roman" w:hAnsi="Times New Roman" w:cs="Mongolian Baiti" w:hint="eastAsia"/>
              </w:rPr>
              <w:t>30</w:t>
            </w:r>
          </w:p>
        </w:tc>
      </w:tr>
    </w:tbl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lang w:val="en-GB"/>
        </w:rPr>
      </w:pP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/>
          <w:b/>
          <w:sz w:val="24"/>
          <w:lang w:val="en-GB"/>
        </w:rPr>
        <w:t>4.1.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机制砂的生产工艺分为湿法和干法两类，机制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生产企业在设计时应根据母岩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岩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性和性能、产品性能要求、产能要求、地域条件、水源丰富程度等因素，选择适宜的生产工艺。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bookmarkStart w:id="21" w:name="_Hlk56807931"/>
      <w:r w:rsidRPr="00DC4C6C">
        <w:rPr>
          <w:rFonts w:ascii="Times New Roman" w:hAnsi="Times New Roman" w:cs="Mongolian Baiti"/>
          <w:b/>
          <w:sz w:val="24"/>
          <w:lang w:val="en-GB"/>
        </w:rPr>
        <w:t>4.1.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5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生产工艺设计应遵循简</w:t>
      </w:r>
      <w:r w:rsidRPr="00DC4C6C">
        <w:rPr>
          <w:rFonts w:ascii="Times New Roman" w:hAnsi="Times New Roman" w:cs="Mongolian Baiti" w:hint="eastAsia"/>
          <w:bCs/>
          <w:sz w:val="24"/>
        </w:rPr>
        <w:t>易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、节能、减排、</w:t>
      </w:r>
      <w:r w:rsidRPr="00DC4C6C">
        <w:rPr>
          <w:rFonts w:ascii="Times New Roman" w:hAnsi="Times New Roman" w:cs="Mongolian Baiti" w:hint="eastAsia"/>
          <w:bCs/>
          <w:sz w:val="24"/>
        </w:rPr>
        <w:t>安全、环保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的原则，经多方案综合比较，择优确定</w:t>
      </w:r>
      <w:bookmarkEnd w:id="21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4.1.6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机制砂料源确定后，应进行机制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工艺性质试验。对采用不同类型设备所生产机制砂的颗粒级配、堆积密度、亚甲蓝（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MB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）值、石粉含量等指标进行检验，对机制砂的粒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形要求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高时，还应对机制砂的颗粒形貌特征进行检验，并进行混凝土的试拌，综合确定机制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生产的工艺参数和设备。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4.1.7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采用干法制砂工艺时</w:t>
      </w:r>
      <w:r w:rsidRPr="00DC4C6C">
        <w:rPr>
          <w:rFonts w:ascii="Times New Roman" w:hAnsi="Times New Roman" w:cs="Mongolian Baiti"/>
          <w:bCs/>
          <w:sz w:val="24"/>
          <w:lang w:val="en-GB"/>
        </w:rPr>
        <w:t>，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原料含水率不宜超过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5%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highlight w:val="yellow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4.1.8 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机制砂的</w:t>
      </w:r>
      <w:r w:rsidRPr="00DC4C6C">
        <w:rPr>
          <w:rFonts w:ascii="Times New Roman" w:hAnsi="Times New Roman" w:cs="Mongolian Baiti" w:hint="eastAsia"/>
          <w:bCs/>
          <w:sz w:val="24"/>
        </w:rPr>
        <w:t>所有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生产单元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宜实现</w:t>
      </w:r>
      <w:proofErr w:type="gramEnd"/>
      <w:r w:rsidRPr="00DC4C6C">
        <w:rPr>
          <w:rFonts w:ascii="Times New Roman" w:hAnsi="Times New Roman" w:cs="Mongolian Baiti" w:hint="eastAsia"/>
          <w:bCs/>
          <w:sz w:val="24"/>
        </w:rPr>
        <w:t>可控性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封闭，避免对周边环境造成污染，材料的输送及计量工序应在密闭状态下进行，并配备收尘系统，做到清洁生产和文明作业。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4.1.9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生产应严格按现行国家标准《企业安全生产标准化基本规范》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GB/T 33000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的要求制定具体的安全操作规程。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4.1.10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生产过程中，应做好设备的维护保养工作，及时更换</w:t>
      </w:r>
      <w:r w:rsidRPr="00DC4C6C">
        <w:rPr>
          <w:rFonts w:ascii="Times New Roman" w:hAnsi="Times New Roman" w:cs="Mongolian Baiti" w:hint="eastAsia"/>
          <w:bCs/>
          <w:sz w:val="24"/>
        </w:rPr>
        <w:t>易损易耗件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，保证机制砂的质量稳定性。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 xml:space="preserve">4.1.11 </w:t>
      </w:r>
      <w:r w:rsidRPr="00DC4C6C">
        <w:rPr>
          <w:rFonts w:ascii="Times New Roman" w:hAnsi="Times New Roman" w:cs="Mongolian Baiti" w:hint="eastAsia"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lang w:val="en-GB"/>
        </w:rPr>
        <w:t>生产企业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应设立试验室，对机制砂的质量进行检验，并根据检验结果对机制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生产控制参数进行调整，以保证机制砂的质量稳定性，保证机制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成品在连续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次（每小时抽样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次）抽样检测中，至少应有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9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次的细度模数与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次抽样的细度模数平均值相差不大于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0.2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4.1.12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不同岩性、不同料源的材料禁止混杂堆放、加工和运输。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4.1.13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绿色生产应符合现行标准《砂石骨料绿色生产与运输评价标准》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T/CBMF-39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和《砂石行业绿色矿山建设规范》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DZ/T 0316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的相关规定。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ind w:firstLine="480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22" w:name="_Toc73450679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4.</w:t>
      </w:r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2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工艺流程</w:t>
      </w:r>
      <w:bookmarkEnd w:id="22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/>
          <w:b/>
          <w:sz w:val="24"/>
          <w:lang w:val="en-GB"/>
        </w:rPr>
        <w:t>4.2.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1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生产可采用与碎石同步生产的砂石联产工艺，亦可采用在专用场地利用碎石单独生产的制砂工艺，应根据工程应用的实际情况，选择具有技术经济性的生产工艺。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2</w:t>
      </w:r>
      <w:r w:rsidRPr="00DC4C6C">
        <w:rPr>
          <w:rFonts w:ascii="Times New Roman" w:hAnsi="Times New Roman" w:cs="Mongolian Baiti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砂石联产工艺的料源为难碎或中等可碎矿石时，宜采用粗碎、中碎、细碎（或整形）、制砂四段破碎闭路筛分流程。采用中等可碎及易碎矿石时，可采用粗碎、中碎、制砂三段破碎闭路筛分流程。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3</w:t>
      </w:r>
      <w:r w:rsidRPr="00DC4C6C">
        <w:rPr>
          <w:rFonts w:ascii="Times New Roman" w:hAnsi="Times New Roman" w:cs="Mongolian Baiti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采用单独制砂工艺时，不宜采用单粒级配碎石生产机制砂，宜采用碎石、石屑复合投料或级配碎石投料工艺。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bookmarkStart w:id="23" w:name="_Hlk56831934"/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对产品粒形、粒径有明确要求的，应增加整形环节。整形通常与制砂同步，亦可单独整形，单独整形时宜采用立式冲击破碎机。</w:t>
      </w:r>
    </w:p>
    <w:bookmarkEnd w:id="23"/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5</w:t>
      </w:r>
      <w:r w:rsidRPr="00DC4C6C">
        <w:rPr>
          <w:rFonts w:ascii="Times New Roman" w:hAnsi="Times New Roman" w:cs="Mongolian Baiti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生产线应在破碎机与振动筛等主要扬尘点配备除尘设备进行除尘，并根据石粉含量控制的需要，与选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粉设备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或水洗设备配套使用进一步除粉。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6</w:t>
      </w:r>
      <w:r w:rsidRPr="00DC4C6C">
        <w:rPr>
          <w:rFonts w:ascii="Times New Roman" w:hAnsi="Times New Roman" w:cs="Mongolian Baiti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干法制砂生产线宜采用喷淋系统对制成的机制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进行加湿处理，使机制砂的含水率控制在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4~6%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，防止离析。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/>
          <w:b/>
          <w:sz w:val="24"/>
          <w:lang w:val="en-GB"/>
        </w:rPr>
        <w:t>4.2.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7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湿法生产宜安装细砂回收装置，同时应配备料浆沉淀池和污水处理系统，生产废水排入沉淀池净化后进入水循环系统，沉淀物应固化后运出。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4.2.8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湿法制砂工艺应严格控制絮凝剂用量，避免其对混凝土工作性的不良影响。通过研究絮凝剂掺量对混凝土初始坍落度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/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经时坍落度的影响，并综合考虑絮凝剂掺量对污水中料浆沉降效率的影响作用，在两者间取得平衡以确定絮凝剂的最佳掺量，聚氯化铝（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PAC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）絮凝剂的浓度宜控制在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0.2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‰以内，聚丙烯酰胺（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PAM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）絮凝剂的浓度宜控制在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0.3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‰以内。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/>
          <w:b/>
          <w:sz w:val="24"/>
          <w:lang w:val="en-GB"/>
        </w:rPr>
        <w:t>4.2.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9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湿法制砂生产线宜采用脱水设备对制成的机制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进行脱水处理，湿法成品砂的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含水率宜控制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在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10%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以内，连续生产的机制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含水率波动宜控制在±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1%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4.2.10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成品机制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lang w:val="en-GB"/>
        </w:rPr>
        <w:t>出料口落差宜不高于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3m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，高于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3m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时应设置防离析管、防扬尘装置。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11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砂石联产干法制砂工艺宜按图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</w:t>
      </w:r>
      <w:r w:rsidRPr="00DC4C6C">
        <w:rPr>
          <w:rFonts w:ascii="Times New Roman" w:hAnsi="Times New Roman" w:cs="Mongolian Baiti"/>
          <w:bCs/>
          <w:sz w:val="24"/>
          <w:lang w:val="en-GB"/>
        </w:rPr>
        <w:t>.2.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11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所列流程进行布置。</w:t>
      </w:r>
    </w:p>
    <w:tbl>
      <w:tblPr>
        <w:tblStyle w:val="12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adjustRightInd w:val="0"/>
              <w:spacing w:line="360" w:lineRule="auto"/>
              <w:jc w:val="left"/>
              <w:rPr>
                <w:rFonts w:ascii="Times New Roman" w:hAnsi="Times New Roman" w:cs="Mongolian Baiti"/>
                <w:bCs/>
                <w:sz w:val="24"/>
                <w:lang w:val="en-GB"/>
              </w:rPr>
            </w:pPr>
            <w:r w:rsidRPr="00DC4C6C">
              <w:rPr>
                <w:rFonts w:ascii="Times New Roman" w:eastAsia="黑体" w:hAnsi="Times New Roman" w:cs="Mongolian Baiti"/>
                <w:b/>
                <w:noProof/>
              </w:rPr>
              <w:drawing>
                <wp:inline distT="0" distB="0" distL="0" distR="0" wp14:anchorId="24A544D6" wp14:editId="734E99F5">
                  <wp:extent cx="5325745" cy="2106930"/>
                  <wp:effectExtent l="0" t="0" r="8255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4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注：制</w:t>
            </w:r>
            <w:proofErr w:type="gramStart"/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砂设备</w:t>
            </w:r>
            <w:proofErr w:type="gramEnd"/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的原料组成有以下几种组合：（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1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）石屑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+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某一粒径碎石；（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2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）级配碎石；（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3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）石屑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+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级配碎石。</w:t>
            </w:r>
          </w:p>
        </w:tc>
      </w:tr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adjustRightInd w:val="0"/>
              <w:spacing w:line="360" w:lineRule="auto"/>
              <w:jc w:val="center"/>
              <w:rPr>
                <w:rFonts w:ascii="Times New Roman" w:eastAsia="黑体" w:hAnsi="Times New Roman" w:cs="Mongolian Baiti"/>
                <w:b/>
                <w:lang w:val="en-GB"/>
              </w:rPr>
            </w:pP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图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 xml:space="preserve">4.2.11  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砂石联产干法制砂工艺流程示意图</w:t>
            </w:r>
          </w:p>
        </w:tc>
      </w:tr>
    </w:tbl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</w:t>
      </w:r>
      <w:r w:rsidRPr="00DC4C6C">
        <w:rPr>
          <w:rFonts w:ascii="Times New Roman" w:hAnsi="Times New Roman" w:cs="Mongolian Baiti"/>
          <w:b/>
          <w:sz w:val="24"/>
          <w:lang w:val="en-GB"/>
        </w:rPr>
        <w:t>.2.1</w:t>
      </w:r>
      <w:r w:rsidRPr="00DC4C6C">
        <w:rPr>
          <w:rFonts w:ascii="Times New Roman" w:hAnsi="Times New Roman" w:cs="Mongolian Baiti" w:hint="eastAsia"/>
          <w:b/>
          <w:sz w:val="24"/>
          <w:lang w:val="en-GB"/>
        </w:rPr>
        <w:t>2</w:t>
      </w:r>
      <w:r w:rsidRPr="00DC4C6C">
        <w:rPr>
          <w:rFonts w:ascii="Times New Roman" w:hAnsi="Times New Roman" w:cs="Mongolian Baiti"/>
          <w:b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砂石联产湿法制砂工艺宜按图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</w:t>
      </w:r>
      <w:r w:rsidRPr="00DC4C6C">
        <w:rPr>
          <w:rFonts w:ascii="Times New Roman" w:hAnsi="Times New Roman" w:cs="Mongolian Baiti"/>
          <w:bCs/>
          <w:sz w:val="24"/>
          <w:lang w:val="en-GB"/>
        </w:rPr>
        <w:t>.2.1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所列流程进行布置。</w:t>
      </w:r>
    </w:p>
    <w:tbl>
      <w:tblPr>
        <w:tblStyle w:val="12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adjustRightInd w:val="0"/>
              <w:spacing w:line="360" w:lineRule="auto"/>
              <w:jc w:val="left"/>
              <w:rPr>
                <w:rFonts w:ascii="Times New Roman" w:hAnsi="Times New Roman" w:cs="Mongolian Baiti"/>
                <w:bCs/>
                <w:sz w:val="24"/>
                <w:lang w:val="en-GB"/>
              </w:rPr>
            </w:pPr>
            <w:r w:rsidRPr="00DC4C6C">
              <w:rPr>
                <w:rFonts w:ascii="Times New Roman" w:eastAsia="黑体" w:hAnsi="Times New Roman" w:cs="Mongolian Baiti"/>
                <w:b/>
                <w:noProof/>
              </w:rPr>
              <w:drawing>
                <wp:inline distT="0" distB="0" distL="0" distR="0" wp14:anchorId="29755280" wp14:editId="14EAD424">
                  <wp:extent cx="5181600" cy="23287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259" cy="23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注：制</w:t>
            </w:r>
            <w:proofErr w:type="gramStart"/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砂设备</w:t>
            </w:r>
            <w:proofErr w:type="gramEnd"/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的原料组成有以下几种组合：（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1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）石屑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+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某一粒径碎石；（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2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）级配碎石；（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3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）石屑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+</w:t>
            </w:r>
            <w:r w:rsidRPr="00DC4C6C">
              <w:rPr>
                <w:rFonts w:ascii="Times New Roman" w:hAnsi="Times New Roman" w:cs="Mongolian Baiti" w:hint="eastAsia"/>
                <w:bCs/>
                <w:sz w:val="18"/>
                <w:szCs w:val="18"/>
                <w:lang w:val="en-GB"/>
              </w:rPr>
              <w:t>级配碎石。</w:t>
            </w:r>
          </w:p>
        </w:tc>
      </w:tr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adjustRightInd w:val="0"/>
              <w:spacing w:line="360" w:lineRule="auto"/>
              <w:jc w:val="center"/>
              <w:rPr>
                <w:rFonts w:ascii="Times New Roman" w:eastAsia="黑体" w:hAnsi="Times New Roman" w:cs="Mongolian Baiti"/>
                <w:b/>
                <w:lang w:val="en-GB"/>
              </w:rPr>
            </w:pP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图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 xml:space="preserve">4.2.12  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砂石联产湿法制砂工艺流程示意图</w:t>
            </w:r>
          </w:p>
        </w:tc>
      </w:tr>
    </w:tbl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4.2.13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卧式单独干法制砂宜按图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4.2.13-1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所列工艺流程布置，卧式单独湿法制砂宜按图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4.2.13-2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所列工艺流程布置。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b/>
          <w:sz w:val="24"/>
          <w:lang w:val="en-GB"/>
        </w:rPr>
        <w:t>4.2.14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立式（楼式或塔式）单独干法制砂宜按图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4.2.14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所列工艺流程布置。</w:t>
      </w:r>
    </w:p>
    <w:tbl>
      <w:tblPr>
        <w:tblStyle w:val="12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adjustRightInd w:val="0"/>
              <w:spacing w:line="360" w:lineRule="auto"/>
              <w:jc w:val="center"/>
              <w:rPr>
                <w:rFonts w:ascii="Times New Roman" w:hAnsi="Times New Roman" w:cs="Mongolian Baiti"/>
                <w:bCs/>
                <w:sz w:val="24"/>
                <w:lang w:val="en-GB"/>
              </w:rPr>
            </w:pPr>
            <w:r w:rsidRPr="00DC4C6C">
              <w:rPr>
                <w:rFonts w:ascii="Times New Roman" w:eastAsia="黑体" w:hAnsi="Times New Roman" w:cs="Mongolian Baiti"/>
                <w:b/>
                <w:noProof/>
              </w:rPr>
              <w:drawing>
                <wp:inline distT="0" distB="0" distL="114300" distR="114300" wp14:anchorId="0FD9222D" wp14:editId="1800DB90">
                  <wp:extent cx="5238750" cy="1524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图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4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>.2.1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3-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 xml:space="preserve">1  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卧式单独干法制砂工艺流程示意图</w:t>
            </w:r>
          </w:p>
        </w:tc>
      </w:tr>
    </w:tbl>
    <w:p w:rsidR="00DC4C6C" w:rsidRPr="00DC4C6C" w:rsidRDefault="00DC4C6C" w:rsidP="00DC4C6C">
      <w:pPr>
        <w:adjustRightInd w:val="0"/>
        <w:spacing w:line="20" w:lineRule="atLeast"/>
        <w:ind w:firstLineChars="100" w:firstLine="240"/>
        <w:rPr>
          <w:rFonts w:ascii="Times New Roman" w:hAnsi="Times New Roman" w:cs="Mongolian Baiti"/>
          <w:bCs/>
          <w:sz w:val="24"/>
          <w:lang w:val="en-GB"/>
        </w:rPr>
      </w:pPr>
    </w:p>
    <w:tbl>
      <w:tblPr>
        <w:tblStyle w:val="12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snapToGrid w:val="0"/>
              <w:spacing w:line="360" w:lineRule="auto"/>
              <w:jc w:val="center"/>
              <w:rPr>
                <w:rFonts w:ascii="Times New Roman" w:hAnsi="宋体"/>
                <w:sz w:val="24"/>
                <w:lang w:val="en-GB"/>
              </w:rPr>
            </w:pPr>
            <w:r w:rsidRPr="00DC4C6C">
              <w:rPr>
                <w:rFonts w:ascii="Times New Roman" w:hAnsi="宋体"/>
                <w:noProof/>
                <w:sz w:val="24"/>
              </w:rPr>
              <w:drawing>
                <wp:inline distT="0" distB="0" distL="0" distR="0" wp14:anchorId="73F3D42A" wp14:editId="6C1F3994">
                  <wp:extent cx="5347335" cy="1836420"/>
                  <wp:effectExtent l="0" t="0" r="571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3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图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4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>.2.1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3-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 xml:space="preserve">2  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卧式单独湿法制砂工艺流程示意图</w:t>
            </w:r>
          </w:p>
        </w:tc>
      </w:tr>
    </w:tbl>
    <w:p w:rsidR="00DC4C6C" w:rsidRPr="00DC4C6C" w:rsidRDefault="00DC4C6C" w:rsidP="00DC4C6C">
      <w:pPr>
        <w:snapToGrid w:val="0"/>
        <w:spacing w:line="20" w:lineRule="atLeast"/>
        <w:ind w:firstLineChars="200" w:firstLine="480"/>
        <w:rPr>
          <w:rFonts w:ascii="Times New Roman" w:hAnsi="宋体"/>
          <w:sz w:val="24"/>
          <w:lang w:val="en-GB"/>
        </w:rPr>
      </w:pPr>
    </w:p>
    <w:tbl>
      <w:tblPr>
        <w:tblStyle w:val="12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DC4C6C" w:rsidRPr="00DC4C6C" w:rsidTr="00963F66">
        <w:tc>
          <w:tcPr>
            <w:tcW w:w="8528" w:type="dxa"/>
          </w:tcPr>
          <w:p w:rsidR="00DC4C6C" w:rsidRPr="00DC4C6C" w:rsidRDefault="00DC4C6C" w:rsidP="00DC4C6C">
            <w:pPr>
              <w:snapToGrid w:val="0"/>
              <w:spacing w:line="360" w:lineRule="auto"/>
              <w:rPr>
                <w:rFonts w:ascii="Times New Roman" w:hAnsi="宋体"/>
                <w:sz w:val="24"/>
                <w:lang w:val="en-GB"/>
              </w:rPr>
            </w:pPr>
            <w:r w:rsidRPr="00DC4C6C">
              <w:rPr>
                <w:rFonts w:ascii="Times New Roman" w:hAnsi="宋体"/>
                <w:noProof/>
                <w:sz w:val="24"/>
              </w:rPr>
              <w:drawing>
                <wp:inline distT="0" distB="0" distL="114300" distR="114300" wp14:anchorId="04F0D962" wp14:editId="26D02665">
                  <wp:extent cx="5257800" cy="202882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C6C" w:rsidRPr="00DC4C6C" w:rsidRDefault="00DC4C6C" w:rsidP="00DC4C6C">
            <w:pPr>
              <w:snapToGrid w:val="0"/>
              <w:spacing w:line="360" w:lineRule="auto"/>
              <w:jc w:val="center"/>
              <w:rPr>
                <w:rFonts w:ascii="Times New Roman" w:hAnsi="宋体"/>
                <w:sz w:val="24"/>
                <w:lang w:val="en-GB"/>
              </w:rPr>
            </w:pP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图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4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>.2.1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4</w:t>
            </w:r>
            <w:r w:rsidRPr="00DC4C6C">
              <w:rPr>
                <w:rFonts w:ascii="Times New Roman" w:eastAsia="黑体" w:hAnsi="Times New Roman" w:cs="Mongolian Baiti"/>
                <w:b/>
                <w:lang w:val="en-GB"/>
              </w:rPr>
              <w:t xml:space="preserve">  </w:t>
            </w:r>
            <w:r w:rsidRPr="00DC4C6C">
              <w:rPr>
                <w:rFonts w:ascii="Times New Roman" w:eastAsia="黑体" w:hAnsi="Times New Roman" w:cs="Mongolian Baiti" w:hint="eastAsia"/>
                <w:b/>
                <w:lang w:val="en-GB"/>
              </w:rPr>
              <w:t>立式单独干法制砂工艺流程示意图</w:t>
            </w:r>
          </w:p>
        </w:tc>
      </w:tr>
    </w:tbl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ind w:firstLine="480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24" w:name="_Toc73450680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4.3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工艺布置</w:t>
      </w:r>
      <w:bookmarkEnd w:id="24"/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4.3.1</w:t>
      </w:r>
      <w:r w:rsidRPr="00DC4C6C">
        <w:rPr>
          <w:rFonts w:ascii="Times New Roman" w:hAnsi="宋体" w:hint="eastAsia"/>
          <w:sz w:val="24"/>
          <w:lang w:val="en-GB"/>
        </w:rPr>
        <w:t xml:space="preserve">  </w:t>
      </w:r>
      <w:r w:rsidRPr="00DC4C6C">
        <w:rPr>
          <w:rFonts w:ascii="Times New Roman" w:hAnsi="宋体" w:hint="eastAsia"/>
          <w:sz w:val="24"/>
          <w:lang w:val="en-GB"/>
        </w:rPr>
        <w:t>工艺布置应根据工艺流程特点，合理利用地形布置空间、设施，简化物料运输环节。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4.3.2</w:t>
      </w:r>
      <w:r w:rsidRPr="00DC4C6C">
        <w:rPr>
          <w:rFonts w:ascii="Times New Roman" w:hAnsi="宋体" w:hint="eastAsia"/>
          <w:sz w:val="24"/>
          <w:lang w:val="en-GB"/>
        </w:rPr>
        <w:t xml:space="preserve">  </w:t>
      </w:r>
      <w:r w:rsidRPr="00DC4C6C">
        <w:rPr>
          <w:rFonts w:ascii="Times New Roman" w:hAnsi="宋体" w:hint="eastAsia"/>
          <w:sz w:val="24"/>
          <w:lang w:val="en-GB"/>
        </w:rPr>
        <w:t>车间设备配置应根据工艺流程布置，同一作业的多台同型号、同规格的设备，应对称或同轴线布置在同一高程上，设备间距应满足安装、操作、维修要求。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4.3.3</w:t>
      </w:r>
      <w:r w:rsidRPr="00DC4C6C">
        <w:rPr>
          <w:rFonts w:ascii="Times New Roman" w:hAnsi="宋体" w:hint="eastAsia"/>
          <w:sz w:val="24"/>
          <w:lang w:val="en-GB"/>
        </w:rPr>
        <w:t xml:space="preserve">  </w:t>
      </w:r>
      <w:r w:rsidRPr="00DC4C6C">
        <w:rPr>
          <w:rFonts w:ascii="Times New Roman" w:hAnsi="宋体" w:hint="eastAsia"/>
          <w:sz w:val="24"/>
          <w:lang w:val="en-GB"/>
        </w:rPr>
        <w:t>根据工艺流程，可采用“一”型、“</w:t>
      </w:r>
      <w:r w:rsidRPr="00DC4C6C">
        <w:rPr>
          <w:rFonts w:ascii="Times New Roman" w:hAnsi="宋体" w:hint="eastAsia"/>
          <w:sz w:val="24"/>
          <w:lang w:val="en-GB"/>
        </w:rPr>
        <w:t>L</w:t>
      </w:r>
      <w:r w:rsidRPr="00DC4C6C">
        <w:rPr>
          <w:rFonts w:ascii="Times New Roman" w:hAnsi="宋体" w:hint="eastAsia"/>
          <w:sz w:val="24"/>
          <w:lang w:val="en-GB"/>
        </w:rPr>
        <w:t>”型、“</w:t>
      </w:r>
      <w:r w:rsidRPr="00DC4C6C">
        <w:rPr>
          <w:rFonts w:ascii="Times New Roman" w:hAnsi="宋体" w:hint="eastAsia"/>
          <w:sz w:val="24"/>
          <w:lang w:val="en-GB"/>
        </w:rPr>
        <w:t>C</w:t>
      </w:r>
      <w:r w:rsidRPr="00DC4C6C">
        <w:rPr>
          <w:rFonts w:ascii="Times New Roman" w:hAnsi="宋体" w:hint="eastAsia"/>
          <w:sz w:val="24"/>
          <w:lang w:val="en-GB"/>
        </w:rPr>
        <w:t>”型、“</w:t>
      </w:r>
      <w:r w:rsidRPr="00DC4C6C">
        <w:rPr>
          <w:rFonts w:ascii="Times New Roman" w:hAnsi="宋体" w:hint="eastAsia"/>
          <w:sz w:val="24"/>
          <w:lang w:val="en-GB"/>
        </w:rPr>
        <w:t>W</w:t>
      </w:r>
      <w:r w:rsidRPr="00DC4C6C">
        <w:rPr>
          <w:rFonts w:ascii="Times New Roman" w:hAnsi="宋体" w:hint="eastAsia"/>
          <w:sz w:val="24"/>
          <w:lang w:val="en-GB"/>
        </w:rPr>
        <w:t>”型等布置形式。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 xml:space="preserve">4.3.4  </w:t>
      </w:r>
      <w:r w:rsidRPr="00DC4C6C">
        <w:rPr>
          <w:rFonts w:ascii="Times New Roman" w:hAnsi="宋体" w:hint="eastAsia"/>
          <w:sz w:val="24"/>
          <w:lang w:val="en-GB"/>
        </w:rPr>
        <w:t>粗碎设备应靠近主料场布置，必须留有足够的安全距离。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 xml:space="preserve">4.3.5  </w:t>
      </w:r>
      <w:r w:rsidRPr="00DC4C6C">
        <w:rPr>
          <w:rFonts w:ascii="Times New Roman" w:hAnsi="宋体" w:hint="eastAsia"/>
          <w:sz w:val="24"/>
          <w:lang w:val="en-GB"/>
        </w:rPr>
        <w:t>中碎、细碎与筛分设备构成闭路流程生产时，宜将中、细破碎机配置在同一车间内。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4.3.6</w:t>
      </w:r>
      <w:r w:rsidRPr="00DC4C6C">
        <w:rPr>
          <w:rFonts w:ascii="Times New Roman" w:hAnsi="宋体" w:hint="eastAsia"/>
          <w:sz w:val="24"/>
          <w:lang w:val="en-GB"/>
        </w:rPr>
        <w:t xml:space="preserve">  </w:t>
      </w:r>
      <w:r w:rsidRPr="00DC4C6C">
        <w:rPr>
          <w:rFonts w:ascii="Times New Roman" w:hAnsi="宋体" w:hint="eastAsia"/>
          <w:sz w:val="24"/>
          <w:lang w:val="en-GB"/>
        </w:rPr>
        <w:t>大、中型机制砂石生产企业或粗碎与中碎、细碎生产能力不均衡时，</w:t>
      </w:r>
      <w:proofErr w:type="gramStart"/>
      <w:r w:rsidRPr="00DC4C6C">
        <w:rPr>
          <w:rFonts w:ascii="Times New Roman" w:hAnsi="宋体" w:hint="eastAsia"/>
          <w:sz w:val="24"/>
          <w:lang w:val="en-GB"/>
        </w:rPr>
        <w:t>宜设置</w:t>
      </w:r>
      <w:proofErr w:type="gramEnd"/>
      <w:r w:rsidRPr="00DC4C6C">
        <w:rPr>
          <w:rFonts w:ascii="Times New Roman" w:hAnsi="宋体" w:hint="eastAsia"/>
          <w:sz w:val="24"/>
          <w:lang w:val="en-GB"/>
        </w:rPr>
        <w:t>中间堆场（仓），堆场（仓）有效容积不宜小于</w:t>
      </w:r>
      <w:r w:rsidRPr="00DC4C6C">
        <w:rPr>
          <w:rFonts w:ascii="Times New Roman" w:hAnsi="宋体" w:hint="eastAsia"/>
          <w:sz w:val="24"/>
          <w:lang w:val="en-GB"/>
        </w:rPr>
        <w:t xml:space="preserve">2h </w:t>
      </w:r>
      <w:r w:rsidRPr="00DC4C6C">
        <w:rPr>
          <w:rFonts w:ascii="Times New Roman" w:hAnsi="宋体" w:hint="eastAsia"/>
          <w:sz w:val="24"/>
          <w:lang w:val="en-GB"/>
        </w:rPr>
        <w:t>产能的矿石储存量。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 xml:space="preserve">4.3.7  </w:t>
      </w:r>
      <w:r w:rsidRPr="00DC4C6C">
        <w:rPr>
          <w:rFonts w:ascii="Times New Roman" w:hAnsi="宋体" w:hint="eastAsia"/>
          <w:sz w:val="24"/>
          <w:lang w:val="en-GB"/>
        </w:rPr>
        <w:t>中碎、细碎车间</w:t>
      </w:r>
      <w:proofErr w:type="gramStart"/>
      <w:r w:rsidRPr="00DC4C6C">
        <w:rPr>
          <w:rFonts w:ascii="Times New Roman" w:hAnsi="宋体" w:hint="eastAsia"/>
          <w:sz w:val="24"/>
          <w:lang w:val="en-GB"/>
        </w:rPr>
        <w:t>宜设置</w:t>
      </w:r>
      <w:proofErr w:type="gramEnd"/>
      <w:r w:rsidRPr="00DC4C6C">
        <w:rPr>
          <w:rFonts w:ascii="Times New Roman" w:hAnsi="宋体" w:hint="eastAsia"/>
          <w:sz w:val="24"/>
          <w:lang w:val="en-GB"/>
        </w:rPr>
        <w:t>缓冲及分配料仓，</w:t>
      </w:r>
      <w:proofErr w:type="gramStart"/>
      <w:r w:rsidRPr="00DC4C6C">
        <w:rPr>
          <w:rFonts w:ascii="Times New Roman" w:hAnsi="宋体" w:hint="eastAsia"/>
          <w:sz w:val="24"/>
          <w:lang w:val="en-GB"/>
        </w:rPr>
        <w:t>料仓的</w:t>
      </w:r>
      <w:proofErr w:type="gramEnd"/>
      <w:r w:rsidRPr="00DC4C6C">
        <w:rPr>
          <w:rFonts w:ascii="Times New Roman" w:hAnsi="宋体" w:hint="eastAsia"/>
          <w:sz w:val="24"/>
          <w:lang w:val="en-GB"/>
        </w:rPr>
        <w:t>有效容积应为破碎机</w:t>
      </w:r>
      <w:r w:rsidRPr="00DC4C6C">
        <w:rPr>
          <w:rFonts w:ascii="Times New Roman" w:hAnsi="宋体" w:hint="eastAsia"/>
          <w:sz w:val="24"/>
          <w:lang w:val="en-GB"/>
        </w:rPr>
        <w:t>10min</w:t>
      </w:r>
      <w:r w:rsidRPr="00DC4C6C">
        <w:rPr>
          <w:rFonts w:ascii="Times New Roman" w:hAnsi="宋体" w:hint="eastAsia"/>
          <w:sz w:val="24"/>
          <w:lang w:val="en-GB"/>
        </w:rPr>
        <w:t>～</w:t>
      </w:r>
      <w:r w:rsidRPr="00DC4C6C">
        <w:rPr>
          <w:rFonts w:ascii="Times New Roman" w:hAnsi="宋体" w:hint="eastAsia"/>
          <w:sz w:val="24"/>
          <w:lang w:val="en-GB"/>
        </w:rPr>
        <w:t xml:space="preserve">20min </w:t>
      </w:r>
      <w:r w:rsidRPr="00DC4C6C">
        <w:rPr>
          <w:rFonts w:ascii="Times New Roman" w:hAnsi="宋体" w:hint="eastAsia"/>
          <w:sz w:val="24"/>
          <w:lang w:val="en-GB"/>
        </w:rPr>
        <w:t>的处理量。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 xml:space="preserve">4.3.8  </w:t>
      </w:r>
      <w:r w:rsidRPr="00DC4C6C">
        <w:rPr>
          <w:rFonts w:ascii="Times New Roman" w:hAnsi="宋体" w:hint="eastAsia"/>
          <w:sz w:val="24"/>
          <w:lang w:val="en-GB"/>
        </w:rPr>
        <w:t>中间堆场（仓）、产品堆场（仓）的储存形式应根据地形、工程地质、储存量、运输及装车方式、产品性质等条件，经技术经济比较后确定。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4.3.9</w:t>
      </w:r>
      <w:r w:rsidRPr="00DC4C6C">
        <w:rPr>
          <w:rFonts w:ascii="Times New Roman" w:hAnsi="宋体" w:hint="eastAsia"/>
          <w:sz w:val="24"/>
          <w:lang w:val="en-GB"/>
        </w:rPr>
        <w:t xml:space="preserve">  </w:t>
      </w:r>
      <w:r w:rsidRPr="00DC4C6C">
        <w:rPr>
          <w:rFonts w:ascii="Times New Roman" w:hAnsi="宋体" w:hint="eastAsia"/>
          <w:sz w:val="24"/>
          <w:lang w:val="en-GB"/>
        </w:rPr>
        <w:t>产品堆场（仓）储存时间应根据机制</w:t>
      </w:r>
      <w:proofErr w:type="gramStart"/>
      <w:r w:rsidRPr="00DC4C6C">
        <w:rPr>
          <w:rFonts w:ascii="Times New Roman" w:hAnsi="宋体" w:hint="eastAsia"/>
          <w:sz w:val="24"/>
          <w:lang w:val="en-GB"/>
        </w:rPr>
        <w:t>砂</w:t>
      </w:r>
      <w:proofErr w:type="gramEnd"/>
      <w:r w:rsidRPr="00DC4C6C">
        <w:rPr>
          <w:rFonts w:ascii="Times New Roman" w:hAnsi="宋体" w:hint="eastAsia"/>
          <w:sz w:val="24"/>
          <w:lang w:val="en-GB"/>
        </w:rPr>
        <w:t>产量、运输条件等因素确定，湿法机制砂的储存时间不宜小于</w:t>
      </w:r>
      <w:r w:rsidRPr="00DC4C6C">
        <w:rPr>
          <w:rFonts w:ascii="Times New Roman" w:hAnsi="宋体" w:hint="eastAsia"/>
          <w:sz w:val="24"/>
          <w:lang w:val="en-GB"/>
        </w:rPr>
        <w:t>2d</w:t>
      </w:r>
      <w:r w:rsidRPr="00DC4C6C">
        <w:rPr>
          <w:rFonts w:ascii="Times New Roman" w:hAnsi="宋体" w:hint="eastAsia"/>
          <w:sz w:val="24"/>
          <w:lang w:val="en-GB"/>
        </w:rPr>
        <w:t>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b/>
          <w:bCs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4.3.10</w:t>
      </w:r>
      <w:r w:rsidRPr="00DC4C6C">
        <w:rPr>
          <w:rFonts w:ascii="Times New Roman" w:hAnsi="宋体" w:hint="eastAsia"/>
          <w:sz w:val="24"/>
          <w:lang w:val="en-GB"/>
        </w:rPr>
        <w:t xml:space="preserve"> </w:t>
      </w:r>
      <w:r w:rsidRPr="00DC4C6C">
        <w:rPr>
          <w:rFonts w:ascii="Times New Roman" w:hAnsi="宋体" w:hint="eastAsia"/>
          <w:sz w:val="24"/>
          <w:lang w:val="en-GB"/>
        </w:rPr>
        <w:t>堆场（仓）应采用封闭式结构，且应设置防水、排水设施。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>4.3.11</w:t>
      </w:r>
      <w:r w:rsidRPr="00DC4C6C">
        <w:rPr>
          <w:rFonts w:ascii="Times New Roman" w:hAnsi="宋体" w:hint="eastAsia"/>
          <w:sz w:val="24"/>
          <w:lang w:val="en-GB"/>
        </w:rPr>
        <w:t xml:space="preserve"> </w:t>
      </w:r>
      <w:r w:rsidRPr="00DC4C6C">
        <w:rPr>
          <w:rFonts w:ascii="Times New Roman" w:hAnsi="宋体" w:hint="eastAsia"/>
          <w:sz w:val="24"/>
          <w:lang w:val="en-GB"/>
        </w:rPr>
        <w:t>带式输送机的运输路线布置应减少中间环节，缩短转运距离，且其布置应符合现行国家标准《带式输送机工程设计规范》</w:t>
      </w:r>
      <w:r w:rsidRPr="00DC4C6C">
        <w:rPr>
          <w:rFonts w:ascii="Times New Roman" w:hAnsi="宋体" w:hint="eastAsia"/>
          <w:sz w:val="24"/>
          <w:lang w:val="en-GB"/>
        </w:rPr>
        <w:t>GB 50431</w:t>
      </w:r>
      <w:r w:rsidRPr="00DC4C6C">
        <w:rPr>
          <w:rFonts w:ascii="Times New Roman" w:hAnsi="宋体" w:hint="eastAsia"/>
          <w:sz w:val="24"/>
          <w:lang w:val="en-GB"/>
        </w:rPr>
        <w:t>的有关规定。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2"/>
        <w:rPr>
          <w:rFonts w:ascii="Times New Roman" w:hAnsi="宋体"/>
          <w:sz w:val="24"/>
          <w:lang w:val="en-GB"/>
        </w:rPr>
      </w:pPr>
      <w:r w:rsidRPr="00DC4C6C">
        <w:rPr>
          <w:rFonts w:ascii="Times New Roman" w:hAnsi="宋体" w:hint="eastAsia"/>
          <w:b/>
          <w:bCs/>
          <w:sz w:val="24"/>
          <w:lang w:val="en-GB"/>
        </w:rPr>
        <w:t xml:space="preserve">4.3.12 </w:t>
      </w:r>
      <w:r w:rsidRPr="00DC4C6C">
        <w:rPr>
          <w:rFonts w:ascii="Times New Roman" w:hAnsi="宋体" w:hint="eastAsia"/>
          <w:sz w:val="24"/>
          <w:lang w:val="en-GB"/>
        </w:rPr>
        <w:t>厂房布置时，应满足供电、供水、除尘等配套公用设施的要求，保证总体的合理性。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宋体"/>
          <w:sz w:val="24"/>
          <w:lang w:val="en-GB"/>
        </w:rPr>
      </w:pP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宋体"/>
          <w:sz w:val="24"/>
          <w:lang w:val="en-GB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  <w:lang w:val="en-GB"/>
        </w:rPr>
      </w:pPr>
      <w:bookmarkStart w:id="25" w:name="_Toc73450681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 xml:space="preserve">5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>生产设备选型</w:t>
      </w:r>
      <w:bookmarkEnd w:id="25"/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26" w:name="_Toc73450682"/>
      <w:bookmarkStart w:id="27" w:name="_Hlk56834796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5.1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一般规定</w:t>
      </w:r>
      <w:bookmarkEnd w:id="26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/>
          <w:bCs/>
          <w:sz w:val="24"/>
          <w:lang w:val="en-GB"/>
        </w:rPr>
      </w:pPr>
      <w:bookmarkStart w:id="28" w:name="_Hlk56834319"/>
      <w:bookmarkEnd w:id="27"/>
      <w:r w:rsidRPr="00DC4C6C">
        <w:rPr>
          <w:rFonts w:ascii="Times New Roman" w:hAnsi="Times New Roman" w:hint="eastAsia"/>
          <w:b/>
          <w:sz w:val="24"/>
          <w:lang w:val="en-GB"/>
        </w:rPr>
        <w:t xml:space="preserve">5.1.1  </w:t>
      </w:r>
      <w:r w:rsidRPr="00DC4C6C">
        <w:rPr>
          <w:rFonts w:ascii="Times New Roman" w:hAnsi="Times New Roman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生产系统由给料设备、破碎设备、制砂设备、整形设备、筛分设备、除尘设备、输送设备、污水处理设备等组成。</w:t>
      </w:r>
      <w:bookmarkEnd w:id="28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5.1.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生产线的设备负荷应根据产能相互配合选择，同时应对砂石原料的岩性变化及级配波动有一定的适应性。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bookmarkStart w:id="29" w:name="_Hlk56834486"/>
      <w:r w:rsidRPr="00DC4C6C">
        <w:rPr>
          <w:rFonts w:ascii="Times New Roman" w:hAnsi="Times New Roman" w:hint="eastAsia"/>
          <w:b/>
          <w:sz w:val="24"/>
          <w:lang w:val="en-GB"/>
        </w:rPr>
        <w:t>5.1.</w:t>
      </w:r>
      <w:r w:rsidRPr="00DC4C6C">
        <w:rPr>
          <w:rFonts w:ascii="Times New Roman" w:hAnsi="Times New Roman"/>
          <w:b/>
          <w:sz w:val="24"/>
          <w:lang w:val="en-GB"/>
        </w:rPr>
        <w:t>3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hint="eastAsia"/>
          <w:bCs/>
          <w:sz w:val="24"/>
          <w:lang w:val="en-GB"/>
        </w:rPr>
        <w:t>设备配置应满足给料、破碎、制砂、整形、筛分、除尘、输送、污水处理等制砂工艺流程要求，能实现清除原料所含泥土等杂质，易将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岩石破碎成类球形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颗粒，并使石粉含量控制在合理范围内的生产目标要求。</w:t>
      </w:r>
      <w:bookmarkEnd w:id="29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bookmarkStart w:id="30" w:name="_Hlk56834852"/>
      <w:r w:rsidRPr="00DC4C6C">
        <w:rPr>
          <w:rFonts w:ascii="Times New Roman" w:hAnsi="Times New Roman" w:hint="eastAsia"/>
          <w:b/>
          <w:sz w:val="24"/>
          <w:lang w:val="en-GB"/>
        </w:rPr>
        <w:t>5.1.</w:t>
      </w:r>
      <w:r w:rsidRPr="00DC4C6C">
        <w:rPr>
          <w:rFonts w:ascii="Times New Roman" w:hAnsi="Times New Roman"/>
          <w:b/>
          <w:sz w:val="24"/>
          <w:lang w:val="en-GB"/>
        </w:rPr>
        <w:t>4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hint="eastAsia"/>
          <w:bCs/>
          <w:sz w:val="24"/>
          <w:lang w:val="en-GB"/>
        </w:rPr>
        <w:t>机制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生产设备应离采石场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爆破区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200m</w:t>
      </w:r>
      <w:r w:rsidRPr="00DC4C6C">
        <w:rPr>
          <w:rFonts w:ascii="Times New Roman" w:hAnsi="Times New Roman" w:hint="eastAsia"/>
          <w:bCs/>
          <w:sz w:val="24"/>
          <w:lang w:val="en-GB"/>
        </w:rPr>
        <w:t>以上、离居民区</w:t>
      </w:r>
      <w:r w:rsidRPr="00DC4C6C">
        <w:rPr>
          <w:rFonts w:ascii="Times New Roman" w:hAnsi="Times New Roman" w:hint="eastAsia"/>
          <w:bCs/>
          <w:sz w:val="24"/>
          <w:lang w:val="en-GB"/>
        </w:rPr>
        <w:t>300m</w:t>
      </w:r>
      <w:r w:rsidRPr="00DC4C6C">
        <w:rPr>
          <w:rFonts w:ascii="Times New Roman" w:hAnsi="Times New Roman" w:hint="eastAsia"/>
          <w:bCs/>
          <w:sz w:val="24"/>
          <w:lang w:val="en-GB"/>
        </w:rPr>
        <w:t>以上，并设置便于吊装设备和日常检修的通道。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ind w:firstLine="480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1" w:name="_Toc73450683"/>
      <w:bookmarkEnd w:id="30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5.</w:t>
      </w:r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2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设备选型原则</w:t>
      </w:r>
      <w:bookmarkEnd w:id="31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>.</w:t>
      </w:r>
      <w:r w:rsidRPr="00DC4C6C">
        <w:rPr>
          <w:rFonts w:ascii="Times New Roman" w:hAnsi="Times New Roman"/>
          <w:b/>
          <w:sz w:val="24"/>
          <w:lang w:val="en-GB"/>
        </w:rPr>
        <w:t>1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  </w:t>
      </w:r>
      <w:r w:rsidRPr="00DC4C6C">
        <w:rPr>
          <w:rFonts w:ascii="Times New Roman" w:hAnsi="Times New Roman" w:hint="eastAsia"/>
          <w:bCs/>
          <w:sz w:val="24"/>
          <w:lang w:val="en-GB"/>
        </w:rPr>
        <w:t>主要设备选型应符合下列规定：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设备类型选择及规格和数量的确定，应综合考虑料源的物理性质、产品质量、产品规格、工艺要求、生产规模、维护和使用成本等因素，并应遵循成熟先进、节能环保、备品配件来源可靠的原则，不得选用淘汰产品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82" w:firstLine="437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/>
          <w:bCs/>
          <w:sz w:val="24"/>
          <w:lang w:val="en-GB"/>
        </w:rPr>
        <w:t>2.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hint="eastAsia"/>
          <w:bCs/>
          <w:sz w:val="24"/>
          <w:lang w:val="en-GB"/>
        </w:rPr>
        <w:t>设备生产能力应根据其技术参数、计算方法进行计算，并结合类似企业实际生产能力综合确定。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82" w:firstLine="437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/>
          <w:bCs/>
          <w:sz w:val="24"/>
          <w:lang w:val="en-GB"/>
        </w:rPr>
        <w:t>3.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 </w:t>
      </w:r>
      <w:r w:rsidRPr="00DC4C6C">
        <w:rPr>
          <w:rFonts w:ascii="Times New Roman" w:hAnsi="Times New Roman" w:hint="eastAsia"/>
          <w:bCs/>
          <w:sz w:val="24"/>
          <w:lang w:val="en-GB"/>
        </w:rPr>
        <w:t>上、下道工序所选用的设备的负荷率应保持一致，同一作业的设备类型、规格应相同。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.2  </w:t>
      </w:r>
      <w:r w:rsidRPr="00DC4C6C">
        <w:rPr>
          <w:rFonts w:ascii="Times New Roman" w:hAnsi="Times New Roman" w:hint="eastAsia"/>
          <w:bCs/>
          <w:sz w:val="24"/>
          <w:lang w:val="en-GB"/>
        </w:rPr>
        <w:t>给料设备选型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>给料设备一般由料斗、喂料机、皮带输送机组成。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喂料机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的规格应和整套设备相匹配，宜采用变频电机驱动，应具备均匀或定量供给原料和筛除废料的功能。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喂料机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分为板式、条式、电机振动给料式等结构形式，按不同的用途选择如下：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粗碎前宜采用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篦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条式振动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喂料机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或棒条式振动喂料机，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喂料机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下应设置废料皮带式输送机。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中碎、细碎、筛分及制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砂设备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前给料设备宜采用振动喂料机、板式喂料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料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机、槽式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喂料机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给料。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3. </w:t>
      </w:r>
      <w:r w:rsidRPr="00DC4C6C">
        <w:rPr>
          <w:rFonts w:ascii="Times New Roman" w:hAnsi="Times New Roman" w:hint="eastAsia"/>
          <w:bCs/>
          <w:sz w:val="24"/>
          <w:lang w:val="en-GB"/>
        </w:rPr>
        <w:t>产品堆场</w:t>
      </w:r>
      <w:r w:rsidRPr="00DC4C6C">
        <w:rPr>
          <w:rFonts w:ascii="Times New Roman" w:hAnsi="宋体" w:hint="eastAsia"/>
          <w:sz w:val="24"/>
          <w:lang w:val="en-GB"/>
        </w:rPr>
        <w:t>（仓）</w:t>
      </w:r>
      <w:r w:rsidRPr="00DC4C6C">
        <w:rPr>
          <w:rFonts w:ascii="Times New Roman" w:hAnsi="Times New Roman" w:hint="eastAsia"/>
          <w:bCs/>
          <w:sz w:val="24"/>
          <w:lang w:val="en-GB"/>
        </w:rPr>
        <w:t>出料设备可采用振动给料机、槽式给料机或卸料闸门给料。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.3  </w:t>
      </w:r>
      <w:r w:rsidRPr="00DC4C6C">
        <w:rPr>
          <w:rFonts w:ascii="Times New Roman" w:hAnsi="Times New Roman" w:hint="eastAsia"/>
          <w:bCs/>
          <w:sz w:val="24"/>
          <w:lang w:val="en-GB"/>
        </w:rPr>
        <w:t>破碎设备选型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粗碎根据破碎能力可选择旋回破碎机、颚式破碎机；大型旋回破碎机宜按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双侧受矿配置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；粗碎设备给矿中最大块度不应大于破碎机给料口宽度的</w:t>
      </w:r>
      <w:r w:rsidRPr="00DC4C6C">
        <w:rPr>
          <w:rFonts w:ascii="Times New Roman" w:hAnsi="Times New Roman" w:hint="eastAsia"/>
          <w:bCs/>
          <w:sz w:val="24"/>
          <w:lang w:val="en-GB"/>
        </w:rPr>
        <w:t>0.80</w:t>
      </w:r>
      <w:r w:rsidRPr="00DC4C6C">
        <w:rPr>
          <w:rFonts w:ascii="Times New Roman" w:hAnsi="Times New Roman" w:hint="eastAsia"/>
          <w:bCs/>
          <w:sz w:val="24"/>
          <w:lang w:val="en-GB"/>
        </w:rPr>
        <w:t>～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0.85 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倍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；颚式破碎机对母岩的含水率要求应不大于</w:t>
      </w:r>
      <w:r w:rsidRPr="00DC4C6C">
        <w:rPr>
          <w:rFonts w:ascii="Times New Roman" w:hAnsi="Times New Roman" w:hint="eastAsia"/>
          <w:bCs/>
          <w:sz w:val="24"/>
          <w:lang w:val="en-GB"/>
        </w:rPr>
        <w:t>10%</w:t>
      </w:r>
      <w:r w:rsidRPr="00DC4C6C">
        <w:rPr>
          <w:rFonts w:ascii="Times New Roman" w:hAnsi="Times New Roman" w:hint="eastAsia"/>
          <w:bCs/>
          <w:sz w:val="24"/>
          <w:lang w:val="en-GB"/>
        </w:rPr>
        <w:t>。；粗碎设备的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负荷率宜为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70%~85%</w:t>
      </w:r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中碎、细碎应根据原料强度、生产需求量、粒形等要求，合理组合圆锥式破碎机、反击式破碎机、立式冲击破碎机等设备进行破碎。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难碎矿石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的中碎、细碎宜选用圆锥破碎机；中等可碎或易碎矿石的中碎、细碎可选用反击式破碎机、锤式破碎机、立轴冲击式破碎机；中碎、细碎作业前的进料皮带式输送机上应设置金属探测器和除铁装置；给料最大块度不宜大于破碎机进料口宽度的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0.85 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倍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～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0.90 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倍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；采用圆锥式破碎机时，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宜设置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缓冲仓及定量装置；设备的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负荷率宜为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75%~90%</w:t>
      </w:r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.4  </w:t>
      </w:r>
      <w:r w:rsidRPr="00DC4C6C">
        <w:rPr>
          <w:rFonts w:ascii="Times New Roman" w:hAnsi="Times New Roman" w:hint="eastAsia"/>
          <w:bCs/>
          <w:sz w:val="24"/>
          <w:lang w:val="en-GB"/>
        </w:rPr>
        <w:t>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砂设备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制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砂设备宜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选用立轴冲击式破碎机、高速旋回破碎机或棒磨机。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采用立轴冲击式破碎机生产机制砂，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对于难碎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、磨蚀性较强的原料，宜选用“石打石”型；对于中等可碎或易碎、磨蚀性中等或较弱的原料，宜选用“石打铁”型。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>3.</w:t>
      </w:r>
      <w:r w:rsidRPr="00DC4C6C">
        <w:rPr>
          <w:rFonts w:ascii="Times New Roman" w:hAnsi="Times New Roman" w:hint="eastAsia"/>
          <w:bCs/>
          <w:sz w:val="24"/>
        </w:rPr>
        <w:t xml:space="preserve"> </w:t>
      </w:r>
      <w:r w:rsidRPr="00DC4C6C">
        <w:rPr>
          <w:rFonts w:ascii="Times New Roman" w:hAnsi="Times New Roman" w:hint="eastAsia"/>
          <w:bCs/>
          <w:sz w:val="24"/>
          <w:lang w:val="en-GB"/>
        </w:rPr>
        <w:t>采用棒磨机生产机制砂，应合理调配进料粒径、进料量、给水量、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装棒量及装棒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级配。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 xml:space="preserve">5.2.5  </w:t>
      </w:r>
      <w:r w:rsidRPr="00DC4C6C">
        <w:rPr>
          <w:rFonts w:ascii="Times New Roman" w:hAnsi="Times New Roman" w:hint="eastAsia"/>
          <w:bCs/>
          <w:sz w:val="24"/>
          <w:lang w:val="en-GB"/>
        </w:rPr>
        <w:t>整形设备选型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整形通常与制砂同步，亦可单独整形</w:t>
      </w:r>
      <w:r w:rsidRPr="00DC4C6C">
        <w:rPr>
          <w:rFonts w:ascii="Times New Roman" w:hAnsi="Times New Roman" w:hint="eastAsia"/>
          <w:bCs/>
          <w:sz w:val="24"/>
        </w:rPr>
        <w:t>，单独整形</w:t>
      </w:r>
      <w:r w:rsidRPr="00DC4C6C">
        <w:rPr>
          <w:rFonts w:ascii="Times New Roman" w:hAnsi="Times New Roman" w:hint="eastAsia"/>
          <w:bCs/>
          <w:sz w:val="24"/>
          <w:lang w:val="en-GB"/>
        </w:rPr>
        <w:t>宜选用立轴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式冲击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破碎机、反击式破碎机。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整形设备的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负荷率宜为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75%~90%</w:t>
      </w:r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.6  </w:t>
      </w:r>
      <w:r w:rsidRPr="00DC4C6C">
        <w:rPr>
          <w:rFonts w:ascii="Times New Roman" w:hAnsi="Times New Roman" w:hint="eastAsia"/>
          <w:bCs/>
          <w:sz w:val="24"/>
          <w:lang w:val="en-GB"/>
        </w:rPr>
        <w:t>筛分设备选型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筛分设备应满足生产能力的要求。筛分设备的处理能力计算应计入给料量的波动，多层筛网的处理能力应按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控制筛层计算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，并校核筛分设备出料端的料层厚度。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机制碎石的筛分宜选用圆振动筛、直线振动筛，机制砂的筛分宜选用圆振动筛、直线振动筛、空气筛，并均应配置方孔筛网。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3. </w:t>
      </w:r>
      <w:r w:rsidRPr="00DC4C6C">
        <w:rPr>
          <w:rFonts w:ascii="Times New Roman" w:hAnsi="Times New Roman" w:hint="eastAsia"/>
          <w:bCs/>
          <w:sz w:val="24"/>
          <w:lang w:val="en-GB"/>
        </w:rPr>
        <w:t>振动筛筛网设置应根据振动筛长度和倾角选择合适的筛孔尺寸，使产品粒级满足要求，产品粒级异常时，应及时对筛孔尺寸进行校验。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4. </w:t>
      </w:r>
      <w:r w:rsidRPr="00DC4C6C">
        <w:rPr>
          <w:rFonts w:ascii="Times New Roman" w:hAnsi="Times New Roman" w:hint="eastAsia"/>
          <w:bCs/>
          <w:sz w:val="24"/>
          <w:lang w:val="en-GB"/>
        </w:rPr>
        <w:t>筛分设备的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负荷率宜为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60%~80%</w:t>
      </w:r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.7  </w:t>
      </w:r>
      <w:r w:rsidRPr="00DC4C6C">
        <w:rPr>
          <w:rFonts w:ascii="Times New Roman" w:hAnsi="Times New Roman" w:hint="eastAsia"/>
          <w:bCs/>
          <w:sz w:val="24"/>
          <w:lang w:val="en-GB"/>
        </w:rPr>
        <w:t>输送设备选型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所有破碎设备应配置皮带式输送机，并加装防雨罩。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皮带式输送机的输送量应根据上游作业设备的瞬间最大处理量确定。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3. </w:t>
      </w:r>
      <w:r w:rsidRPr="00DC4C6C">
        <w:rPr>
          <w:rFonts w:ascii="Times New Roman" w:hAnsi="Times New Roman" w:hint="eastAsia"/>
          <w:bCs/>
          <w:sz w:val="24"/>
          <w:lang w:val="en-GB"/>
        </w:rPr>
        <w:t>皮带式输送机倾角，应根据物料最大粒度、粒级组成、带速等因素确定。皮带式输送机输送砂石料时，上行带式输送机倾角不宜大于</w:t>
      </w:r>
      <w:r w:rsidRPr="00DC4C6C">
        <w:rPr>
          <w:rFonts w:ascii="Times New Roman" w:hAnsi="Times New Roman" w:hint="eastAsia"/>
          <w:bCs/>
          <w:sz w:val="24"/>
          <w:lang w:val="en-GB"/>
        </w:rPr>
        <w:t>16</w:t>
      </w:r>
      <w:r w:rsidRPr="00DC4C6C">
        <w:rPr>
          <w:rFonts w:ascii="Times New Roman" w:hAnsi="Times New Roman" w:hint="eastAsia"/>
          <w:bCs/>
          <w:sz w:val="24"/>
          <w:lang w:val="en-GB"/>
        </w:rPr>
        <w:t>°，下行带式输送机倾角不宜大于</w:t>
      </w:r>
      <w:r w:rsidRPr="00DC4C6C">
        <w:rPr>
          <w:rFonts w:ascii="Times New Roman" w:hAnsi="Times New Roman" w:hint="eastAsia"/>
          <w:bCs/>
          <w:sz w:val="24"/>
          <w:lang w:val="en-GB"/>
        </w:rPr>
        <w:t>12</w:t>
      </w:r>
      <w:r w:rsidRPr="00DC4C6C">
        <w:rPr>
          <w:rFonts w:ascii="Times New Roman" w:hAnsi="Times New Roman" w:hint="eastAsia"/>
          <w:bCs/>
          <w:sz w:val="24"/>
          <w:lang w:val="en-GB"/>
        </w:rPr>
        <w:t>°。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4. </w:t>
      </w:r>
      <w:r w:rsidRPr="00DC4C6C">
        <w:rPr>
          <w:rFonts w:ascii="Times New Roman" w:hAnsi="Times New Roman" w:hint="eastAsia"/>
          <w:bCs/>
          <w:sz w:val="24"/>
          <w:lang w:val="en-GB"/>
        </w:rPr>
        <w:t>皮带式输送机输送经螺旋分级机脱水后的成品砂时，选用带宽应比计算值提高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1 </w:t>
      </w:r>
      <w:r w:rsidRPr="00DC4C6C">
        <w:rPr>
          <w:rFonts w:ascii="Times New Roman" w:hAnsi="Times New Roman" w:hint="eastAsia"/>
          <w:bCs/>
          <w:sz w:val="24"/>
          <w:lang w:val="en-GB"/>
        </w:rPr>
        <w:t>级，且最小带宽不宜小于</w:t>
      </w:r>
      <w:r w:rsidRPr="00DC4C6C">
        <w:rPr>
          <w:rFonts w:ascii="Times New Roman" w:hAnsi="Times New Roman" w:hint="eastAsia"/>
          <w:bCs/>
          <w:sz w:val="24"/>
          <w:lang w:val="en-GB"/>
        </w:rPr>
        <w:t>650mm</w:t>
      </w:r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5. </w:t>
      </w:r>
      <w:r w:rsidRPr="00DC4C6C">
        <w:rPr>
          <w:rFonts w:ascii="Times New Roman" w:hAnsi="Times New Roman" w:hint="eastAsia"/>
          <w:bCs/>
          <w:sz w:val="24"/>
          <w:lang w:val="en-GB"/>
        </w:rPr>
        <w:t>需要将骨料垂直或者较大高差提升时，应采用骨料提升机。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6. </w:t>
      </w:r>
      <w:r w:rsidRPr="00DC4C6C">
        <w:rPr>
          <w:rFonts w:ascii="Times New Roman" w:hAnsi="Times New Roman" w:hint="eastAsia"/>
          <w:bCs/>
          <w:sz w:val="24"/>
          <w:lang w:val="en-GB"/>
        </w:rPr>
        <w:t>中、细碎车间进料的皮带式输送机上应设置金属处理装置。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7. </w:t>
      </w:r>
      <w:r w:rsidRPr="00DC4C6C">
        <w:rPr>
          <w:rFonts w:ascii="Times New Roman" w:hAnsi="Times New Roman" w:hint="eastAsia"/>
          <w:bCs/>
          <w:sz w:val="24"/>
          <w:lang w:val="en-GB"/>
        </w:rPr>
        <w:t>闭式筛分系统垂直提升或较大高差提升及粉料输送时，应采用斗式提升机或螺旋输送机。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2" w:firstLine="198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.8  </w:t>
      </w:r>
      <w:r w:rsidRPr="00DC4C6C">
        <w:rPr>
          <w:rFonts w:ascii="Times New Roman" w:hAnsi="Times New Roman" w:hint="eastAsia"/>
          <w:bCs/>
          <w:sz w:val="24"/>
          <w:lang w:val="en-GB"/>
        </w:rPr>
        <w:t>干法制砂除粉（除尘）设备选型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机制砂的石粉含量应通过除尘、选粉多级（道）除粉工艺进行控制，并根据具体情况选择适宜的除尘设备和选粉设备。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r w:rsidRPr="00DC4C6C">
        <w:rPr>
          <w:rFonts w:ascii="Times New Roman" w:hAnsi="Times New Roman" w:hint="eastAsia"/>
          <w:bCs/>
          <w:sz w:val="24"/>
          <w:lang w:val="en-GB"/>
        </w:rPr>
        <w:t>除尘设备宜采用脉冲式布袋除尘器、机械反吹风扁布袋除尘器、旋风除尘器，除尘效果应满足现行国家标准《大气污染物综合排放标准》</w:t>
      </w:r>
      <w:r w:rsidRPr="00DC4C6C">
        <w:rPr>
          <w:rFonts w:ascii="Times New Roman" w:hAnsi="Times New Roman"/>
          <w:bCs/>
          <w:sz w:val="24"/>
          <w:lang w:val="en-GB"/>
        </w:rPr>
        <w:t>GB 16297</w:t>
      </w:r>
      <w:r w:rsidRPr="00DC4C6C">
        <w:rPr>
          <w:rFonts w:ascii="Times New Roman" w:hAnsi="Times New Roman" w:hint="eastAsia"/>
          <w:bCs/>
          <w:sz w:val="24"/>
          <w:lang w:val="en-GB"/>
        </w:rPr>
        <w:t>的要求。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3 </w:t>
      </w:r>
      <w:r w:rsidRPr="00DC4C6C">
        <w:rPr>
          <w:rFonts w:ascii="Times New Roman" w:hAnsi="Times New Roman" w:hint="eastAsia"/>
          <w:bCs/>
          <w:sz w:val="24"/>
          <w:lang w:val="en-GB"/>
        </w:rPr>
        <w:t>选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粉设备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可采用干法制砂分级机、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砂粉分离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机、风选脱粉机等。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4. </w:t>
      </w:r>
      <w:r w:rsidRPr="00DC4C6C">
        <w:rPr>
          <w:rFonts w:ascii="Times New Roman" w:hAnsi="Times New Roman" w:hint="eastAsia"/>
          <w:bCs/>
          <w:sz w:val="24"/>
          <w:lang w:val="en-GB"/>
        </w:rPr>
        <w:t>除尘或选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粉设备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收集的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0.075mm </w:t>
      </w:r>
      <w:r w:rsidRPr="00DC4C6C">
        <w:rPr>
          <w:rFonts w:ascii="Times New Roman" w:hAnsi="Times New Roman" w:hint="eastAsia"/>
          <w:bCs/>
          <w:sz w:val="24"/>
          <w:lang w:val="en-GB"/>
        </w:rPr>
        <w:t>以上颗粒宜回收。</w:t>
      </w:r>
    </w:p>
    <w:p w:rsidR="00DC4C6C" w:rsidRPr="00DC4C6C" w:rsidRDefault="00DC4C6C" w:rsidP="00DC4C6C">
      <w:pPr>
        <w:adjustRightInd w:val="0"/>
        <w:snapToGrid w:val="0"/>
        <w:spacing w:line="360" w:lineRule="auto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/>
          <w:sz w:val="24"/>
          <w:lang w:val="en-GB"/>
        </w:rPr>
        <w:t>5.</w:t>
      </w:r>
      <w:r w:rsidRPr="00DC4C6C">
        <w:rPr>
          <w:rFonts w:ascii="Times New Roman" w:hAnsi="Times New Roman"/>
          <w:b/>
          <w:sz w:val="24"/>
          <w:lang w:val="en-GB"/>
        </w:rPr>
        <w:t>2</w:t>
      </w:r>
      <w:r w:rsidRPr="00DC4C6C">
        <w:rPr>
          <w:rFonts w:ascii="Times New Roman" w:hAnsi="Times New Roman" w:hint="eastAsia"/>
          <w:b/>
          <w:sz w:val="24"/>
          <w:lang w:val="en-GB"/>
        </w:rPr>
        <w:t xml:space="preserve">.9  </w:t>
      </w:r>
      <w:r w:rsidRPr="00DC4C6C">
        <w:rPr>
          <w:rFonts w:ascii="Times New Roman" w:hAnsi="Times New Roman" w:hint="eastAsia"/>
          <w:bCs/>
          <w:sz w:val="24"/>
          <w:lang w:val="en-GB"/>
        </w:rPr>
        <w:t>湿法制砂除粉（水洗）设备选型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1. </w:t>
      </w:r>
      <w:r w:rsidRPr="00DC4C6C">
        <w:rPr>
          <w:rFonts w:ascii="Times New Roman" w:hAnsi="Times New Roman" w:hint="eastAsia"/>
          <w:bCs/>
          <w:sz w:val="24"/>
          <w:lang w:val="en-GB"/>
        </w:rPr>
        <w:t>湿法制砂的石粉含量应通过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洗砂设备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进行控制。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2. 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洗砂设备宜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选用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轮式洗砂机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并配套细砂回收装置，产量低于</w:t>
      </w:r>
      <w:r w:rsidRPr="00DC4C6C">
        <w:rPr>
          <w:rFonts w:ascii="Times New Roman" w:hAnsi="Times New Roman" w:hint="eastAsia"/>
          <w:bCs/>
          <w:sz w:val="24"/>
          <w:lang w:val="en-GB"/>
        </w:rPr>
        <w:t>300t/h</w:t>
      </w:r>
      <w:r w:rsidRPr="00DC4C6C">
        <w:rPr>
          <w:rFonts w:ascii="Times New Roman" w:hAnsi="Times New Roman" w:hint="eastAsia"/>
          <w:bCs/>
          <w:sz w:val="24"/>
          <w:lang w:val="en-GB"/>
        </w:rPr>
        <w:t>时可选用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螺旋式洗砂机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3. </w:t>
      </w:r>
      <w:r w:rsidRPr="00DC4C6C">
        <w:rPr>
          <w:rFonts w:ascii="Times New Roman" w:hAnsi="Times New Roman" w:hint="eastAsia"/>
          <w:bCs/>
          <w:sz w:val="24"/>
          <w:lang w:val="en-GB"/>
        </w:rPr>
        <w:t>水洗除去的</w:t>
      </w:r>
      <w:r w:rsidRPr="00DC4C6C">
        <w:rPr>
          <w:rFonts w:ascii="Times New Roman" w:hAnsi="Times New Roman" w:hint="eastAsia"/>
          <w:bCs/>
          <w:sz w:val="24"/>
          <w:lang w:val="en-GB"/>
        </w:rPr>
        <w:t xml:space="preserve">0.075mm </w:t>
      </w:r>
      <w:r w:rsidRPr="00DC4C6C">
        <w:rPr>
          <w:rFonts w:ascii="Times New Roman" w:hAnsi="Times New Roman" w:hint="eastAsia"/>
          <w:bCs/>
          <w:sz w:val="24"/>
          <w:lang w:val="en-GB"/>
        </w:rPr>
        <w:t>以上颗粒宜回收。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  <w:r w:rsidRPr="00DC4C6C">
        <w:rPr>
          <w:rFonts w:ascii="Times New Roman" w:hAnsi="Times New Roman" w:hint="eastAsia"/>
          <w:bCs/>
          <w:sz w:val="24"/>
          <w:lang w:val="en-GB"/>
        </w:rPr>
        <w:t xml:space="preserve">4. </w:t>
      </w:r>
      <w:r w:rsidRPr="00DC4C6C">
        <w:rPr>
          <w:rFonts w:ascii="Times New Roman" w:hAnsi="Times New Roman" w:hint="eastAsia"/>
          <w:bCs/>
          <w:sz w:val="24"/>
          <w:lang w:val="en-GB"/>
        </w:rPr>
        <w:t>采用湿法制砂时，应设置沉淀池和污水处理系统，生产废水排入沉淀池净化后进入水循环系统，沉淀物应固化后运出，污水处理设备宜选用泥渣</w:t>
      </w:r>
      <w:proofErr w:type="gramStart"/>
      <w:r w:rsidRPr="00DC4C6C">
        <w:rPr>
          <w:rFonts w:ascii="Times New Roman" w:hAnsi="Times New Roman" w:hint="eastAsia"/>
          <w:bCs/>
          <w:sz w:val="24"/>
          <w:lang w:val="en-GB"/>
        </w:rPr>
        <w:t>脱水干排机</w:t>
      </w:r>
      <w:proofErr w:type="gramEnd"/>
      <w:r w:rsidRPr="00DC4C6C">
        <w:rPr>
          <w:rFonts w:ascii="Times New Roman" w:hAnsi="Times New Roman" w:hint="eastAsia"/>
          <w:bCs/>
          <w:sz w:val="24"/>
          <w:lang w:val="en-GB"/>
        </w:rPr>
        <w:t>或离心式泥浆分离设备。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/>
          <w:bCs/>
          <w:sz w:val="24"/>
          <w:lang w:val="en-GB"/>
        </w:rPr>
      </w:pP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83" w:firstLine="199"/>
        <w:rPr>
          <w:rFonts w:ascii="Times New Roman" w:hAnsi="Times New Roman"/>
          <w:bCs/>
          <w:sz w:val="24"/>
          <w:lang w:val="en-GB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  <w:lang w:val="en-GB"/>
        </w:rPr>
      </w:pPr>
      <w:bookmarkStart w:id="32" w:name="_Toc19349530"/>
      <w:bookmarkStart w:id="33" w:name="_Toc73450684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 xml:space="preserve">6 </w:t>
      </w:r>
      <w:bookmarkEnd w:id="32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  <w:lang w:val="en-GB"/>
        </w:rPr>
        <w:t>生产管理</w:t>
      </w:r>
      <w:bookmarkEnd w:id="33"/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4" w:name="_Toc19349531"/>
      <w:bookmarkStart w:id="35" w:name="_Toc73450685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6.1  </w:t>
      </w:r>
      <w:bookmarkEnd w:id="34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一般规定</w:t>
      </w:r>
      <w:bookmarkEnd w:id="35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bCs/>
          <w:sz w:val="24"/>
          <w:szCs w:val="22"/>
        </w:rPr>
        <w:t xml:space="preserve">6.1.1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生产企业应采用适宜的管理系统进行生产管理和控制，建立管理台账，详细记录任务下达、执行、顾客反馈等情况及相关信息，并对生产质量和生产控制水平定期进行统计分析。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bCs/>
          <w:sz w:val="24"/>
          <w:szCs w:val="22"/>
        </w:rPr>
        <w:t xml:space="preserve">6.1.2 </w:t>
      </w:r>
      <w:r w:rsidRPr="00DC4C6C">
        <w:rPr>
          <w:rFonts w:ascii="Times New Roman" w:hAnsi="Times New Roman" w:cs="Mongolian Baiti"/>
          <w:bCs/>
          <w:sz w:val="24"/>
          <w:szCs w:val="22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生产企业应建立设备管理台账，定期对设备进行保养和维护，及时更换易磨损配件，保证设备的安全运行及稳定产品的质量。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bCs/>
          <w:sz w:val="24"/>
          <w:szCs w:val="22"/>
        </w:rPr>
        <w:t>6.1.3</w:t>
      </w:r>
      <w:r w:rsidRPr="00DC4C6C">
        <w:rPr>
          <w:rFonts w:ascii="Times New Roman" w:hAnsi="Times New Roman" w:cs="Mongolian Baiti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生产企业应定期对生产中的单位产品综合能耗进行统计和控制，并建立能耗责任制。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sz w:val="24"/>
          <w:szCs w:val="22"/>
        </w:rPr>
        <w:t>6.1.4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生产企业应建立废水、废料等生产废弃物的处理利用记录台账，动态跟踪生产废水、废料的利用水平。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6.1.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生产时应对过程中产生的一系列环境污染源进行监控并处理，监控对象包括生产性粉尘、噪声、废水和废料等。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6.1.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厂区应有厂区污染物监测点布设平面图，当监测点发生变化时应及时更新。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6.1.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7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厂区应编制年度监测控制计划，并针对监测控制对象定期委托第三方进行现场监测或者自我监测。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6" w:name="_Toc73450686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6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.2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废水处理</w:t>
      </w:r>
      <w:bookmarkEnd w:id="36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.2.1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生产排水、雨水和生活污水，应清污分流。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宋体" w:hAnsi="宋体" w:cs="宋体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.2.2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试验室排出的含酸、碱废水应集中</w:t>
      </w:r>
      <w:r w:rsidRPr="00DC4C6C">
        <w:rPr>
          <w:rFonts w:ascii="宋体" w:hAnsi="宋体" w:cs="宋体" w:hint="eastAsia"/>
          <w:bCs/>
          <w:sz w:val="24"/>
          <w:szCs w:val="22"/>
        </w:rPr>
        <w:t>收集，经中和处理后达标排放。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.2.3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矿区及生产区应建有规范完备的生产废水处理措施，生产废水应自然沉淀或机械脱水后循环使用，废水重复利用率应达到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90%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以上或者零排放。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.2.4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矿区及生产区应建有独立的截（排）水沟，地表径流水经沉淀处理后可用于矿山生产、绿化或者符合现行国家标准《污水综合排放标准》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GB 8978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达标排放。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7" w:name="_Toc73450687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6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.3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粉尘治理</w:t>
      </w:r>
      <w:bookmarkEnd w:id="37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矿山开采作业应采取降尘措施。爆破穿孔作业时钻机应选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装捕尘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器，爆堆铲装作业前应先喷雾洒水降尘。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生产区应对破碎系统进行封闭，破碎过程采用定向集尘和收尘装置，应在破碎机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进出料口和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筛分机械上安装集尘装置，并利用风机以负压方式将含尘气体输送到除尘装置中进行除尘；在破碎机下料口可增加喷淋设备进行降尘。</w:t>
      </w:r>
    </w:p>
    <w:p w:rsidR="00DC4C6C" w:rsidRPr="00DC4C6C" w:rsidRDefault="00DC4C6C" w:rsidP="00DC4C6C">
      <w:pPr>
        <w:tabs>
          <w:tab w:val="left" w:pos="5812"/>
        </w:tabs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6.3.3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生产区成品砂的装卸和运输应采取措施避免粉尘排放，成品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运输方式可选用封闭的皮带运输系统，成品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堆放应采用半封闭或全封闭料仓。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装车后应采取加盖篷布密闭措施，驶离生产区时应采取减少扬尘及防遗撒措施。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生产区主要运输道理应进行硬化处理，应配备洒水车辆洒水抑尘，保持路面湿润、清洁，道路两旁应绿化。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.3.6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生产企业的粉尘排放浓度应符合现行国家标准《大气污染物综合排放标准》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GB 16297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的有关规定，并应满足厂区所在地区的环保要求。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8" w:name="_Toc73450688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6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.4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固体废弃物污染防治</w:t>
      </w:r>
      <w:bookmarkEnd w:id="38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生产区固体废弃物应有专用堆场。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.4.2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剥离表层土可用于复垦、恢复植被时的覆土。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.4.3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剥离物中具有一定强度的风化石，可作为路基材料使用。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回收的细砂和石粉应进行综合利用。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.4.5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收尘设备收下的粉尘经处理后应运到固定地点堆放，并应采取防止二次污染的措施。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.4.6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脱泥和洗矿等排出的各种废渣应集中处理，不得排入自然水体或任意抛弃。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.4.7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湿法制砂压滤后排出的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泥饼应设置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专门的防水堆场（仓）放置，可作为筑路或制砖材料使用。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39" w:name="_Toc73450689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6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.5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减振降噪</w:t>
      </w:r>
      <w:bookmarkEnd w:id="39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矿区、生产区内各类地点噪声限值应符合现行国家标准《工业企业噪声控制设计规范》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GB/T 50087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的有关规定。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.5.2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矿区、生产区厂界噪声限值应符合现行国家标准《工业企业厂界噪声标准》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GB 12348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的相关要求。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.5.3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设备选型时应选用低噪声生产设备，工艺布置应采取控制噪声传播的措施。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生产区应采用缓冲装置对破碎设备进行减振处理，降低机械设备的振动和噪声。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.5.5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高强噪声源车间，应采取隔声围护结构等措施。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6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.5.6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矿区、生产区和生活区之间应采用降噪和绿化措施。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4"/>
          <w:lang w:val="en-GB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40" w:name="_Toc19349542"/>
      <w:bookmarkStart w:id="41" w:name="_Toc73450690"/>
      <w:bookmarkStart w:id="42" w:name="_Hlk56804891"/>
      <w:r w:rsidRPr="00DC4C6C">
        <w:rPr>
          <w:rFonts w:ascii="Times New Roman" w:eastAsia="黑体" w:hAnsi="Times New Roman" w:cs="Mongolian Baiti"/>
          <w:bCs/>
          <w:kern w:val="44"/>
          <w:sz w:val="36"/>
          <w:szCs w:val="44"/>
        </w:rPr>
        <w:t>7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 </w:t>
      </w:r>
      <w:bookmarkEnd w:id="40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检验与验收</w:t>
      </w:r>
      <w:bookmarkEnd w:id="41"/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43" w:name="_Toc73450691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7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.1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一般规定</w:t>
      </w:r>
      <w:bookmarkEnd w:id="43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7.1.1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bookmarkStart w:id="44" w:name="_Hlk60604284"/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</w:t>
      </w:r>
      <w:bookmarkEnd w:id="44"/>
      <w:r w:rsidRPr="00DC4C6C">
        <w:rPr>
          <w:rFonts w:ascii="Times New Roman" w:hAnsi="Times New Roman" w:cs="Mongolian Baiti" w:hint="eastAsia"/>
          <w:bCs/>
          <w:sz w:val="24"/>
          <w:szCs w:val="22"/>
        </w:rPr>
        <w:t>应建立试验室，对机制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进行出厂检验，并按标准要求出具产品合格证。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.1.2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生产企业应建立产品出厂质量管理制度，明确质量管理指标和岗位责任制，并对质量文件进行存档。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</w:rPr>
      </w:pPr>
      <w:bookmarkStart w:id="45" w:name="_Toc73450692"/>
      <w:r w:rsidRPr="00DC4C6C">
        <w:rPr>
          <w:rFonts w:ascii="Times New Roman" w:eastAsia="黑体" w:hAnsi="Times New Roman" w:hint="eastAsia"/>
          <w:bCs/>
          <w:kern w:val="0"/>
          <w:sz w:val="28"/>
        </w:rPr>
        <w:t xml:space="preserve">7.2  </w:t>
      </w:r>
      <w:r w:rsidRPr="00DC4C6C">
        <w:rPr>
          <w:rFonts w:ascii="Times New Roman" w:eastAsia="黑体" w:hAnsi="Times New Roman" w:hint="eastAsia"/>
          <w:bCs/>
          <w:kern w:val="0"/>
          <w:sz w:val="28"/>
        </w:rPr>
        <w:t>检验分类</w:t>
      </w:r>
      <w:bookmarkEnd w:id="45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7.2.1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机制砂的检验分为型式检验、出厂检验和进场（厂）检验，产品通过型式检验合格后，才能批量生产。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7.2.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2</w:t>
      </w:r>
      <w:r w:rsidRPr="00DC4C6C">
        <w:rPr>
          <w:rFonts w:ascii="Times New Roman" w:hAnsi="Times New Roman" w:cs="Mongolian Baiti" w:hint="eastAsia"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sz w:val="24"/>
          <w:szCs w:val="22"/>
        </w:rPr>
        <w:t>型式检验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1</w:t>
      </w:r>
      <w:r w:rsidRPr="00DC4C6C">
        <w:rPr>
          <w:rFonts w:ascii="Times New Roman" w:hAnsi="Times New Roman" w:cs="Mongolian Baiti"/>
          <w:sz w:val="24"/>
          <w:szCs w:val="22"/>
          <w:lang w:val="en-GB"/>
        </w:rPr>
        <w:t xml:space="preserve">. 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机制砂的型式检验由具有相关资质的检测机构进行，并出具质量检测报告。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/>
          <w:sz w:val="24"/>
          <w:szCs w:val="22"/>
          <w:lang w:val="en-GB"/>
        </w:rPr>
        <w:t xml:space="preserve">2. 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型式检验应向有关管理部门备案，有下列情况之一时，应进行型式检验：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a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）新产品投产和老产品转产时；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b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）原料资源或生产工艺发生变化时；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c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）停产一个月或更长时间后恢复生产时；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d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）出厂检验结果与上次型式检验有较大差异时；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e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）正常生产时，每年进行一次；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f</w:t>
      </w: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）国家质量监督机构要求检验时。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7.2.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3 </w:t>
      </w:r>
      <w:r w:rsidRPr="00DC4C6C">
        <w:rPr>
          <w:rFonts w:ascii="Times New Roman" w:hAnsi="Times New Roman" w:cs="Mongolian Baiti" w:hint="eastAsia"/>
          <w:sz w:val="24"/>
          <w:szCs w:val="22"/>
        </w:rPr>
        <w:t>出厂检验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机制砂的出厂检验由生产企业的质量部门进行，出具质量检验报告并附产品质量合格证明。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7.2.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4 </w:t>
      </w:r>
      <w:r w:rsidRPr="00DC4C6C">
        <w:rPr>
          <w:rFonts w:ascii="Times New Roman" w:hAnsi="Times New Roman" w:cs="Mongolian Baiti" w:hint="eastAsia"/>
          <w:sz w:val="24"/>
          <w:szCs w:val="22"/>
        </w:rPr>
        <w:t>进场（厂）检验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机制砂的进场（厂）检验由机制</w:t>
      </w:r>
      <w:proofErr w:type="gramStart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砂</w:t>
      </w:r>
      <w:proofErr w:type="gramEnd"/>
      <w:r w:rsidRPr="00DC4C6C">
        <w:rPr>
          <w:rFonts w:ascii="Times New Roman" w:hAnsi="Times New Roman" w:cs="Mongolian Baiti" w:hint="eastAsia"/>
          <w:sz w:val="24"/>
          <w:szCs w:val="22"/>
          <w:lang w:val="en-GB"/>
        </w:rPr>
        <w:t>使用方进行，当使用方不具备试验条件时，由供需双方协商确定进场（厂）检验的承担单位，包括供需双方认可的有资质的检验单位，并应在合同中予以明确。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</w:rPr>
      </w:pPr>
      <w:bookmarkStart w:id="46" w:name="_Toc73450693"/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7.</w:t>
      </w:r>
      <w:r w:rsidRPr="00DC4C6C">
        <w:rPr>
          <w:rFonts w:ascii="Times New Roman" w:eastAsia="黑体" w:hAnsi="Times New Roman" w:hint="eastAsia"/>
          <w:bCs/>
          <w:kern w:val="0"/>
          <w:sz w:val="28"/>
        </w:rPr>
        <w:t>3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  </w:t>
      </w:r>
      <w:r w:rsidRPr="00DC4C6C">
        <w:rPr>
          <w:rFonts w:ascii="Times New Roman" w:eastAsia="黑体" w:hAnsi="Times New Roman" w:hint="eastAsia"/>
          <w:bCs/>
          <w:kern w:val="0"/>
          <w:sz w:val="28"/>
        </w:rPr>
        <w:t>检验项目与试验方法</w:t>
      </w:r>
      <w:bookmarkEnd w:id="46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机制砂的检验项目与试验方法应按照表</w:t>
      </w:r>
      <w:r w:rsidRPr="00DC4C6C">
        <w:rPr>
          <w:rFonts w:ascii="Times New Roman" w:hAnsi="Times New Roman" w:cs="Mongolian Baiti"/>
          <w:bCs/>
          <w:sz w:val="24"/>
          <w:szCs w:val="22"/>
        </w:rPr>
        <w:t>7.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3.1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的规定执行。</w:t>
      </w:r>
      <w:bookmarkEnd w:id="42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11"/>
        <w:jc w:val="center"/>
        <w:rPr>
          <w:rFonts w:ascii="Times New Roman" w:eastAsia="黑体" w:hAnsi="Times New Roman" w:cs="Mongolian Baiti"/>
          <w:b/>
          <w:lang w:val="en-GB"/>
        </w:rPr>
      </w:pPr>
      <w:r w:rsidRPr="00DC4C6C">
        <w:rPr>
          <w:rFonts w:ascii="Times New Roman" w:eastAsia="黑体" w:hAnsi="Times New Roman" w:cs="Mongolian Baiti" w:hint="eastAsia"/>
          <w:b/>
          <w:lang w:val="en-GB"/>
        </w:rPr>
        <w:t>表</w:t>
      </w:r>
      <w:r w:rsidRPr="00DC4C6C">
        <w:rPr>
          <w:rFonts w:ascii="Times New Roman" w:eastAsia="黑体" w:hAnsi="Times New Roman" w:cs="Mongolian Baiti"/>
          <w:b/>
          <w:lang w:val="en-GB"/>
        </w:rPr>
        <w:t>7.</w:t>
      </w:r>
      <w:r w:rsidRPr="00DC4C6C">
        <w:rPr>
          <w:rFonts w:ascii="Times New Roman" w:eastAsia="黑体" w:hAnsi="Times New Roman" w:cs="Mongolian Baiti" w:hint="eastAsia"/>
          <w:b/>
        </w:rPr>
        <w:t>3</w:t>
      </w:r>
      <w:r w:rsidRPr="00DC4C6C">
        <w:rPr>
          <w:rFonts w:ascii="Times New Roman" w:eastAsia="黑体" w:hAnsi="Times New Roman" w:cs="Mongolian Baiti"/>
          <w:b/>
          <w:lang w:val="en-GB"/>
        </w:rPr>
        <w:t>.</w:t>
      </w:r>
      <w:r w:rsidRPr="00DC4C6C">
        <w:rPr>
          <w:rFonts w:ascii="Times New Roman" w:eastAsia="黑体" w:hAnsi="Times New Roman" w:cs="Mongolian Baiti" w:hint="eastAsia"/>
          <w:b/>
        </w:rPr>
        <w:t>1</w:t>
      </w:r>
      <w:r w:rsidRPr="00DC4C6C">
        <w:rPr>
          <w:rFonts w:ascii="Times New Roman" w:eastAsia="黑体" w:hAnsi="Times New Roman" w:cs="Mongolian Baiti"/>
          <w:b/>
          <w:lang w:val="en-GB"/>
        </w:rPr>
        <w:t xml:space="preserve">  </w:t>
      </w:r>
      <w:r w:rsidRPr="00DC4C6C">
        <w:rPr>
          <w:rFonts w:ascii="Times New Roman" w:eastAsia="黑体" w:hAnsi="Times New Roman" w:cs="Mongolian Baiti" w:hint="eastAsia"/>
          <w:b/>
          <w:lang w:val="en-GB"/>
        </w:rPr>
        <w:t>机制砂的检验项目与试验方法</w:t>
      </w:r>
    </w:p>
    <w:tbl>
      <w:tblPr>
        <w:tblStyle w:val="6"/>
        <w:tblW w:w="852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670"/>
        <w:gridCol w:w="1612"/>
        <w:gridCol w:w="636"/>
        <w:gridCol w:w="636"/>
        <w:gridCol w:w="853"/>
        <w:gridCol w:w="993"/>
        <w:gridCol w:w="868"/>
        <w:gridCol w:w="437"/>
        <w:gridCol w:w="432"/>
        <w:gridCol w:w="872"/>
      </w:tblGrid>
      <w:tr w:rsidR="00DC4C6C" w:rsidRPr="00DC4C6C" w:rsidTr="00963F66">
        <w:trPr>
          <w:trHeight w:val="315"/>
        </w:trPr>
        <w:tc>
          <w:tcPr>
            <w:tcW w:w="519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序号</w:t>
            </w:r>
          </w:p>
        </w:tc>
        <w:tc>
          <w:tcPr>
            <w:tcW w:w="2282" w:type="dxa"/>
            <w:gridSpan w:val="2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项目名称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型式检验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出厂</w:t>
            </w:r>
          </w:p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检验</w:t>
            </w:r>
          </w:p>
        </w:tc>
        <w:tc>
          <w:tcPr>
            <w:tcW w:w="853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进场（厂）</w:t>
            </w:r>
          </w:p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检验</w:t>
            </w:r>
          </w:p>
        </w:tc>
        <w:tc>
          <w:tcPr>
            <w:tcW w:w="993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试验方法</w:t>
            </w: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技术要求</w:t>
            </w:r>
          </w:p>
        </w:tc>
      </w:tr>
      <w:tr w:rsidR="00DC4C6C" w:rsidRPr="00DC4C6C" w:rsidTr="00963F66">
        <w:trPr>
          <w:trHeight w:val="315"/>
        </w:trPr>
        <w:tc>
          <w:tcPr>
            <w:tcW w:w="519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282" w:type="dxa"/>
            <w:gridSpan w:val="2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53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Ⅰ级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Ⅱ级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Ⅲ级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岩石抗压强度（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MPa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）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JGJ 52</w:t>
            </w: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火成岩≥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100</w:t>
            </w:r>
          </w:p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变质岩≥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80</w:t>
            </w:r>
          </w:p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沉积岩≥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60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2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单级最大压碎指标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20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25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30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3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碱活性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*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/>
                <w:szCs w:val="21"/>
              </w:rPr>
              <w:t>*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经碱活性试验后，试件应无裂缝、酥裂、胶体外溢等现象，在规定的试验龄期膨胀率小于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0.10%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4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表观密度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(kg/m</w:t>
            </w:r>
            <w:r w:rsidRPr="00DC4C6C">
              <w:rPr>
                <w:rFonts w:ascii="Times New Roman" w:hAnsi="Times New Roman" w:cs="Mongolian Baiti" w:hint="eastAsia"/>
                <w:szCs w:val="21"/>
                <w:vertAlign w:val="superscript"/>
              </w:rPr>
              <w:t>3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≥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2500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5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松散堆积密度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(kg/m</w:t>
            </w:r>
            <w:r w:rsidRPr="00DC4C6C">
              <w:rPr>
                <w:rFonts w:ascii="Times New Roman" w:hAnsi="Times New Roman" w:cs="Mongolian Baiti" w:hint="eastAsia"/>
                <w:szCs w:val="21"/>
                <w:vertAlign w:val="superscript"/>
              </w:rPr>
              <w:t>3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≥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1400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6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空隙率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43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44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44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7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坚固性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8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饱和面干吸水率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≤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2.0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9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颗粒级配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2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区</w:t>
            </w:r>
          </w:p>
        </w:tc>
        <w:tc>
          <w:tcPr>
            <w:tcW w:w="1304" w:type="dxa"/>
            <w:gridSpan w:val="2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，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2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，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3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区</w:t>
            </w:r>
          </w:p>
        </w:tc>
      </w:tr>
      <w:tr w:rsidR="00DC4C6C" w:rsidRPr="00DC4C6C" w:rsidTr="00963F66">
        <w:trPr>
          <w:trHeight w:val="315"/>
        </w:trPr>
        <w:tc>
          <w:tcPr>
            <w:tcW w:w="519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10</w:t>
            </w:r>
          </w:p>
        </w:tc>
        <w:tc>
          <w:tcPr>
            <w:tcW w:w="670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石粉含量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 xml:space="preserve"> (%)</w:t>
            </w:r>
          </w:p>
        </w:tc>
        <w:tc>
          <w:tcPr>
            <w:tcW w:w="161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/>
                <w:szCs w:val="21"/>
              </w:rPr>
              <w:t>MB</w:t>
            </w:r>
            <w:r w:rsidRPr="00DC4C6C">
              <w:rPr>
                <w:rFonts w:ascii="Times New Roman" w:hAnsi="Times New Roman"/>
                <w:szCs w:val="21"/>
              </w:rPr>
              <w:t>值</w:t>
            </w: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/>
                <w:szCs w:val="21"/>
              </w:rPr>
              <w:t>1.40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Merge w:val="restart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7.0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10.0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12.0</w:t>
            </w:r>
          </w:p>
        </w:tc>
      </w:tr>
      <w:tr w:rsidR="00DC4C6C" w:rsidRPr="00DC4C6C" w:rsidTr="00963F66">
        <w:trPr>
          <w:trHeight w:val="315"/>
        </w:trPr>
        <w:tc>
          <w:tcPr>
            <w:tcW w:w="519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70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/>
                <w:szCs w:val="21"/>
              </w:rPr>
              <w:t>MB</w:t>
            </w:r>
            <w:r w:rsidRPr="00DC4C6C">
              <w:rPr>
                <w:rFonts w:ascii="Times New Roman" w:hAnsi="Times New Roman"/>
                <w:szCs w:val="21"/>
              </w:rPr>
              <w:t>值</w:t>
            </w:r>
            <w:r w:rsidRPr="00DC4C6C">
              <w:rPr>
                <w:rFonts w:ascii="Times New Roman" w:hAnsi="Times New Roman" w:cs="宋体" w:hint="eastAsia"/>
                <w:szCs w:val="21"/>
              </w:rPr>
              <w:t>＞</w:t>
            </w:r>
            <w:r w:rsidRPr="00DC4C6C">
              <w:rPr>
                <w:rFonts w:ascii="Times New Roman" w:hAnsi="Times New Roman"/>
                <w:szCs w:val="21"/>
              </w:rPr>
              <w:t>1.4</w:t>
            </w:r>
            <w:r w:rsidRPr="00DC4C6C">
              <w:rPr>
                <w:rFonts w:ascii="Times New Roman" w:hAnsi="Times New Roman"/>
                <w:szCs w:val="21"/>
              </w:rPr>
              <w:t>时</w:t>
            </w: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5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3.0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5.0</w:t>
            </w:r>
          </w:p>
        </w:tc>
      </w:tr>
      <w:tr w:rsidR="00DC4C6C" w:rsidRPr="00DC4C6C" w:rsidTr="00963F66">
        <w:trPr>
          <w:trHeight w:val="158"/>
        </w:trPr>
        <w:tc>
          <w:tcPr>
            <w:tcW w:w="519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11</w:t>
            </w:r>
          </w:p>
        </w:tc>
        <w:tc>
          <w:tcPr>
            <w:tcW w:w="670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泥块含量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161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/>
                <w:szCs w:val="21"/>
              </w:rPr>
              <w:t>MB</w:t>
            </w:r>
            <w:r w:rsidRPr="00DC4C6C">
              <w:rPr>
                <w:rFonts w:ascii="Times New Roman" w:hAnsi="Times New Roman"/>
                <w:szCs w:val="21"/>
              </w:rPr>
              <w:t>值</w:t>
            </w: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/>
                <w:szCs w:val="21"/>
              </w:rPr>
              <w:t>1.40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Merge w:val="restart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853" w:type="dxa"/>
            <w:vMerge w:val="restart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2.0</w:t>
            </w:r>
          </w:p>
        </w:tc>
      </w:tr>
      <w:tr w:rsidR="00DC4C6C" w:rsidRPr="00DC4C6C" w:rsidTr="00963F66">
        <w:trPr>
          <w:trHeight w:val="157"/>
        </w:trPr>
        <w:tc>
          <w:tcPr>
            <w:tcW w:w="519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70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/>
                <w:szCs w:val="21"/>
              </w:rPr>
              <w:t>MB</w:t>
            </w:r>
            <w:r w:rsidRPr="00DC4C6C">
              <w:rPr>
                <w:rFonts w:ascii="Times New Roman" w:hAnsi="Times New Roman"/>
                <w:szCs w:val="21"/>
              </w:rPr>
              <w:t>值</w:t>
            </w:r>
            <w:r w:rsidRPr="00DC4C6C">
              <w:rPr>
                <w:rFonts w:ascii="Times New Roman" w:hAnsi="Times New Roman" w:cs="宋体" w:hint="eastAsia"/>
                <w:szCs w:val="21"/>
              </w:rPr>
              <w:t>＞</w:t>
            </w:r>
            <w:r w:rsidRPr="00DC4C6C">
              <w:rPr>
                <w:rFonts w:ascii="Times New Roman" w:hAnsi="Times New Roman"/>
                <w:szCs w:val="21"/>
              </w:rPr>
              <w:t>1.4</w:t>
            </w:r>
            <w:r w:rsidRPr="00DC4C6C">
              <w:rPr>
                <w:rFonts w:ascii="Times New Roman" w:hAnsi="Times New Roman"/>
                <w:szCs w:val="21"/>
              </w:rPr>
              <w:t>时</w:t>
            </w: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636" w:type="dxa"/>
            <w:vMerge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5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12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云母含量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2.0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2.0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13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轻物质含量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≤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1.0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14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有机物含量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浅于标准溶液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15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硫化物和硫酸盐含量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≤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0.5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16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氯离子含量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*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Merge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/>
                <w:szCs w:val="21"/>
              </w:rPr>
              <w:t>0.0</w:t>
            </w:r>
            <w:r w:rsidRPr="00DC4C6C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0.02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cs="宋体" w:hint="eastAsia"/>
                <w:szCs w:val="21"/>
              </w:rPr>
              <w:t>≤</w:t>
            </w:r>
            <w:r w:rsidRPr="00DC4C6C">
              <w:rPr>
                <w:rFonts w:ascii="Times New Roman" w:hAnsi="Times New Roman" w:hint="eastAsia"/>
                <w:szCs w:val="21"/>
              </w:rPr>
              <w:t>0.06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17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放射性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GB 6566</w:t>
            </w:r>
          </w:p>
        </w:tc>
        <w:tc>
          <w:tcPr>
            <w:tcW w:w="2609" w:type="dxa"/>
            <w:gridSpan w:val="4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内照射指引≤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且外照射指数≤</w:t>
            </w:r>
            <w:r w:rsidRPr="00DC4C6C">
              <w:rPr>
                <w:rFonts w:ascii="Times New Roman" w:hAnsi="Times New Roman" w:hint="eastAsia"/>
                <w:szCs w:val="21"/>
              </w:rPr>
              <w:t>1.0</w:t>
            </w:r>
          </w:p>
        </w:tc>
      </w:tr>
      <w:tr w:rsidR="00DC4C6C" w:rsidRPr="00DC4C6C" w:rsidTr="00963F66">
        <w:tc>
          <w:tcPr>
            <w:tcW w:w="519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18</w:t>
            </w:r>
          </w:p>
        </w:tc>
        <w:tc>
          <w:tcPr>
            <w:tcW w:w="2282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流动度比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√</w:t>
            </w:r>
          </w:p>
        </w:tc>
        <w:tc>
          <w:tcPr>
            <w:tcW w:w="636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85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</w:p>
        </w:tc>
        <w:tc>
          <w:tcPr>
            <w:tcW w:w="993" w:type="dxa"/>
            <w:vAlign w:val="center"/>
          </w:tcPr>
          <w:p w:rsidR="00DC4C6C" w:rsidRPr="00DC4C6C" w:rsidRDefault="00DC4C6C" w:rsidP="00DC4C6C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《广州市机制砂混凝土应用技术指引》</w:t>
            </w:r>
          </w:p>
        </w:tc>
        <w:tc>
          <w:tcPr>
            <w:tcW w:w="868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≥</w:t>
            </w:r>
            <w:r w:rsidRPr="00DC4C6C">
              <w:rPr>
                <w:rFonts w:ascii="Times New Roman" w:hAnsi="Times New Roman" w:hint="eastAsia"/>
                <w:szCs w:val="21"/>
              </w:rPr>
              <w:t>80</w:t>
            </w:r>
          </w:p>
        </w:tc>
        <w:tc>
          <w:tcPr>
            <w:tcW w:w="869" w:type="dxa"/>
            <w:gridSpan w:val="2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≥</w:t>
            </w:r>
            <w:r w:rsidRPr="00DC4C6C">
              <w:rPr>
                <w:rFonts w:ascii="Times New Roman" w:hAnsi="Times New Roman" w:hint="eastAsia"/>
                <w:szCs w:val="21"/>
              </w:rPr>
              <w:t>75</w:t>
            </w:r>
          </w:p>
        </w:tc>
        <w:tc>
          <w:tcPr>
            <w:tcW w:w="872" w:type="dxa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DC4C6C">
              <w:rPr>
                <w:rFonts w:ascii="Times New Roman" w:hAnsi="Times New Roman" w:hint="eastAsia"/>
                <w:szCs w:val="21"/>
              </w:rPr>
              <w:t>≥</w:t>
            </w:r>
            <w:r w:rsidRPr="00DC4C6C">
              <w:rPr>
                <w:rFonts w:ascii="Times New Roman" w:hAnsi="Times New Roman" w:hint="eastAsia"/>
                <w:szCs w:val="21"/>
              </w:rPr>
              <w:t>65</w:t>
            </w:r>
          </w:p>
        </w:tc>
      </w:tr>
      <w:tr w:rsidR="00DC4C6C" w:rsidRPr="00DC4C6C" w:rsidTr="00CA7455">
        <w:trPr>
          <w:trHeight w:val="592"/>
        </w:trPr>
        <w:tc>
          <w:tcPr>
            <w:tcW w:w="8528" w:type="dxa"/>
            <w:gridSpan w:val="11"/>
            <w:vAlign w:val="center"/>
          </w:tcPr>
          <w:p w:rsidR="00DC4C6C" w:rsidRPr="00DC4C6C" w:rsidRDefault="00DC4C6C" w:rsidP="00DC4C6C">
            <w:pPr>
              <w:adjustRightInd w:val="0"/>
              <w:snapToGrid w:val="0"/>
              <w:jc w:val="center"/>
              <w:rPr>
                <w:rFonts w:ascii="Times New Roman" w:hAnsi="Times New Roman" w:cs="Mongolian Baiti"/>
                <w:szCs w:val="21"/>
              </w:rPr>
            </w:pPr>
            <w:r w:rsidRPr="00DC4C6C">
              <w:rPr>
                <w:rFonts w:ascii="Times New Roman" w:hAnsi="Times New Roman" w:cs="Mongolian Baiti" w:hint="eastAsia"/>
                <w:szCs w:val="21"/>
              </w:rPr>
              <w:t>注：</w:t>
            </w:r>
            <w:r w:rsidRPr="00DC4C6C">
              <w:rPr>
                <w:rFonts w:ascii="Times New Roman" w:hAnsi="Times New Roman" w:cs="Mongolian Baiti"/>
                <w:szCs w:val="21"/>
              </w:rPr>
              <w:t>√</w:t>
            </w:r>
            <w:r w:rsidRPr="00DC4C6C">
              <w:rPr>
                <w:rFonts w:ascii="Times New Roman" w:hAnsi="Times New Roman" w:cs="Mongolian Baiti"/>
                <w:szCs w:val="21"/>
              </w:rPr>
              <w:t>为检验项目，</w:t>
            </w:r>
            <w:r w:rsidRPr="00DC4C6C">
              <w:rPr>
                <w:rFonts w:ascii="Times New Roman" w:hAnsi="Times New Roman" w:cs="Mongolian Baiti" w:hint="eastAsia"/>
                <w:szCs w:val="21"/>
              </w:rPr>
              <w:t>-</w:t>
            </w:r>
            <w:r w:rsidRPr="00DC4C6C">
              <w:rPr>
                <w:rFonts w:ascii="Times New Roman" w:hAnsi="Times New Roman" w:cs="Mongolian Baiti"/>
                <w:szCs w:val="21"/>
              </w:rPr>
              <w:t>为不检验项目，</w:t>
            </w:r>
            <w:r w:rsidRPr="00DC4C6C">
              <w:rPr>
                <w:rFonts w:ascii="Times New Roman" w:hAnsi="Times New Roman" w:cs="Mongolian Baiti"/>
                <w:szCs w:val="21"/>
              </w:rPr>
              <w:t>*</w:t>
            </w:r>
            <w:r w:rsidRPr="00DC4C6C">
              <w:rPr>
                <w:rFonts w:ascii="Times New Roman" w:hAnsi="Times New Roman" w:cs="Mongolian Baiti"/>
                <w:szCs w:val="21"/>
              </w:rPr>
              <w:t>为根据需要而定的检验项目</w:t>
            </w:r>
          </w:p>
        </w:tc>
      </w:tr>
    </w:tbl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11"/>
        <w:jc w:val="center"/>
        <w:rPr>
          <w:rFonts w:ascii="Times New Roman" w:eastAsia="黑体" w:hAnsi="Times New Roman" w:cs="Mongolian Baiti"/>
          <w:b/>
        </w:rPr>
      </w:pP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</w:rPr>
      </w:pPr>
      <w:bookmarkStart w:id="47" w:name="_Toc73450694"/>
      <w:bookmarkStart w:id="48" w:name="_Toc19349547"/>
      <w:r w:rsidRPr="00DC4C6C">
        <w:rPr>
          <w:rFonts w:ascii="Times New Roman" w:eastAsia="黑体" w:hAnsi="Times New Roman"/>
          <w:bCs/>
          <w:kern w:val="0"/>
          <w:sz w:val="28"/>
        </w:rPr>
        <w:t>7.4</w:t>
      </w:r>
      <w:r w:rsidRPr="00DC4C6C">
        <w:rPr>
          <w:rFonts w:ascii="Times New Roman" w:eastAsia="黑体" w:hAnsi="Times New Roman" w:hint="eastAsia"/>
          <w:bCs/>
          <w:kern w:val="0"/>
          <w:sz w:val="28"/>
        </w:rPr>
        <w:t xml:space="preserve">  </w:t>
      </w:r>
      <w:proofErr w:type="gramStart"/>
      <w:r w:rsidRPr="00DC4C6C">
        <w:rPr>
          <w:rFonts w:ascii="Times New Roman" w:eastAsia="黑体" w:hAnsi="Times New Roman" w:hint="eastAsia"/>
          <w:bCs/>
          <w:kern w:val="0"/>
          <w:sz w:val="28"/>
        </w:rPr>
        <w:t>组批和</w:t>
      </w:r>
      <w:proofErr w:type="gramEnd"/>
      <w:r w:rsidRPr="00DC4C6C">
        <w:rPr>
          <w:rFonts w:ascii="Times New Roman" w:eastAsia="黑体" w:hAnsi="Times New Roman" w:hint="eastAsia"/>
          <w:bCs/>
          <w:kern w:val="0"/>
          <w:sz w:val="28"/>
        </w:rPr>
        <w:t>判定规则</w:t>
      </w:r>
      <w:bookmarkEnd w:id="47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4</w:t>
      </w:r>
      <w:r w:rsidRPr="00DC4C6C">
        <w:rPr>
          <w:rFonts w:ascii="Times New Roman" w:hAnsi="Times New Roman" w:cs="Mongolian Baiti"/>
          <w:b/>
          <w:sz w:val="24"/>
          <w:szCs w:val="22"/>
        </w:rPr>
        <w:t>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1  </w:t>
      </w:r>
      <w:proofErr w:type="gramStart"/>
      <w:r w:rsidRPr="00DC4C6C">
        <w:rPr>
          <w:rFonts w:ascii="Times New Roman" w:hAnsi="Times New Roman" w:cs="Mongolian Baiti" w:hint="eastAsia"/>
          <w:sz w:val="24"/>
          <w:szCs w:val="22"/>
        </w:rPr>
        <w:t>组批规则</w:t>
      </w:r>
      <w:proofErr w:type="gramEnd"/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  <w:szCs w:val="22"/>
        </w:rPr>
      </w:pPr>
      <w:proofErr w:type="gramStart"/>
      <w:r w:rsidRPr="00DC4C6C">
        <w:rPr>
          <w:rFonts w:ascii="Times New Roman" w:hAnsi="Times New Roman" w:cs="Mongolian Baiti" w:hint="eastAsia"/>
          <w:sz w:val="24"/>
          <w:szCs w:val="22"/>
        </w:rPr>
        <w:t>机制砂按同</w:t>
      </w:r>
      <w:proofErr w:type="gramEnd"/>
      <w:r w:rsidRPr="00DC4C6C">
        <w:rPr>
          <w:rFonts w:ascii="Times New Roman" w:hAnsi="Times New Roman" w:cs="Mongolian Baiti" w:hint="eastAsia"/>
          <w:sz w:val="24"/>
          <w:szCs w:val="22"/>
        </w:rPr>
        <w:t>产地、规格、类别及日产量超过</w:t>
      </w:r>
      <w:r w:rsidRPr="00DC4C6C">
        <w:rPr>
          <w:rFonts w:ascii="Times New Roman" w:hAnsi="Times New Roman" w:cs="Mongolian Baiti" w:hint="eastAsia"/>
          <w:sz w:val="24"/>
          <w:szCs w:val="22"/>
        </w:rPr>
        <w:t>600t</w:t>
      </w:r>
      <w:r w:rsidRPr="00DC4C6C">
        <w:rPr>
          <w:rFonts w:ascii="Times New Roman" w:hAnsi="Times New Roman" w:cs="Mongolian Baiti" w:hint="eastAsia"/>
          <w:sz w:val="24"/>
          <w:szCs w:val="22"/>
        </w:rPr>
        <w:t>时，以</w:t>
      </w:r>
      <w:r w:rsidRPr="00DC4C6C">
        <w:rPr>
          <w:rFonts w:ascii="Times New Roman" w:hAnsi="Times New Roman" w:cs="Mongolian Baiti" w:hint="eastAsia"/>
          <w:sz w:val="24"/>
          <w:szCs w:val="22"/>
        </w:rPr>
        <w:t>600t</w:t>
      </w:r>
      <w:r w:rsidRPr="00DC4C6C">
        <w:rPr>
          <w:rFonts w:ascii="Times New Roman" w:hAnsi="Times New Roman" w:cs="Mongolian Baiti" w:hint="eastAsia"/>
          <w:sz w:val="24"/>
          <w:szCs w:val="22"/>
        </w:rPr>
        <w:t>为一批，不足</w:t>
      </w:r>
      <w:r w:rsidRPr="00DC4C6C">
        <w:rPr>
          <w:rFonts w:ascii="Times New Roman" w:hAnsi="Times New Roman" w:cs="Mongolian Baiti" w:hint="eastAsia"/>
          <w:sz w:val="24"/>
          <w:szCs w:val="22"/>
        </w:rPr>
        <w:t>600t</w:t>
      </w:r>
      <w:r w:rsidRPr="00DC4C6C">
        <w:rPr>
          <w:rFonts w:ascii="Times New Roman" w:hAnsi="Times New Roman" w:cs="Mongolian Baiti" w:hint="eastAsia"/>
          <w:sz w:val="24"/>
          <w:szCs w:val="22"/>
        </w:rPr>
        <w:t>亦为一批；日产量超过</w:t>
      </w:r>
      <w:r w:rsidRPr="00DC4C6C">
        <w:rPr>
          <w:rFonts w:ascii="Times New Roman" w:hAnsi="Times New Roman" w:cs="Mongolian Baiti" w:hint="eastAsia"/>
          <w:sz w:val="24"/>
          <w:szCs w:val="22"/>
        </w:rPr>
        <w:t>2000t</w:t>
      </w:r>
      <w:r w:rsidRPr="00DC4C6C">
        <w:rPr>
          <w:rFonts w:ascii="Times New Roman" w:hAnsi="Times New Roman" w:cs="Mongolian Baiti" w:hint="eastAsia"/>
          <w:sz w:val="24"/>
          <w:szCs w:val="22"/>
        </w:rPr>
        <w:t>，按</w:t>
      </w:r>
      <w:r w:rsidRPr="00DC4C6C">
        <w:rPr>
          <w:rFonts w:ascii="Times New Roman" w:hAnsi="Times New Roman" w:cs="Mongolian Baiti" w:hint="eastAsia"/>
          <w:sz w:val="24"/>
          <w:szCs w:val="22"/>
        </w:rPr>
        <w:t>1000t</w:t>
      </w:r>
      <w:r w:rsidRPr="00DC4C6C">
        <w:rPr>
          <w:rFonts w:ascii="Times New Roman" w:hAnsi="Times New Roman" w:cs="Mongolian Baiti" w:hint="eastAsia"/>
          <w:sz w:val="24"/>
          <w:szCs w:val="22"/>
        </w:rPr>
        <w:t>为一批，不足</w:t>
      </w:r>
      <w:r w:rsidRPr="00DC4C6C">
        <w:rPr>
          <w:rFonts w:ascii="Times New Roman" w:hAnsi="Times New Roman" w:cs="Mongolian Baiti" w:hint="eastAsia"/>
          <w:sz w:val="24"/>
          <w:szCs w:val="22"/>
        </w:rPr>
        <w:t>1000t</w:t>
      </w:r>
      <w:r w:rsidRPr="00DC4C6C">
        <w:rPr>
          <w:rFonts w:ascii="Times New Roman" w:hAnsi="Times New Roman" w:cs="Mongolian Baiti" w:hint="eastAsia"/>
          <w:sz w:val="24"/>
          <w:szCs w:val="22"/>
        </w:rPr>
        <w:t>亦为一批；当确认产品质量稳定，可按</w:t>
      </w:r>
      <w:r w:rsidRPr="00DC4C6C">
        <w:rPr>
          <w:rFonts w:ascii="Times New Roman" w:hAnsi="Times New Roman" w:cs="Mongolian Baiti" w:hint="eastAsia"/>
          <w:sz w:val="24"/>
          <w:szCs w:val="22"/>
        </w:rPr>
        <w:t>1000t</w:t>
      </w:r>
      <w:r w:rsidRPr="00DC4C6C">
        <w:rPr>
          <w:rFonts w:ascii="Times New Roman" w:hAnsi="Times New Roman" w:cs="Mongolian Baiti" w:hint="eastAsia"/>
          <w:sz w:val="24"/>
          <w:szCs w:val="22"/>
        </w:rPr>
        <w:t>为一个批次检验验收。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4</w:t>
      </w:r>
      <w:r w:rsidRPr="00DC4C6C">
        <w:rPr>
          <w:rFonts w:ascii="Times New Roman" w:hAnsi="Times New Roman" w:cs="Mongolian Baiti"/>
          <w:b/>
          <w:sz w:val="24"/>
          <w:szCs w:val="22"/>
        </w:rPr>
        <w:t>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2  </w:t>
      </w:r>
      <w:r w:rsidRPr="00DC4C6C">
        <w:rPr>
          <w:rFonts w:ascii="Times New Roman" w:hAnsi="Times New Roman" w:cs="Mongolian Baiti" w:hint="eastAsia"/>
          <w:sz w:val="24"/>
          <w:szCs w:val="22"/>
        </w:rPr>
        <w:t>判定规则</w:t>
      </w: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DC4C6C">
        <w:rPr>
          <w:rFonts w:ascii="Times New Roman" w:hAnsi="Times New Roman" w:hint="eastAsia"/>
          <w:sz w:val="24"/>
        </w:rPr>
        <w:t>1</w:t>
      </w:r>
      <w:r w:rsidRPr="00DC4C6C">
        <w:rPr>
          <w:rFonts w:ascii="Times New Roman" w:hAnsi="Times New Roman" w:hint="eastAsia"/>
          <w:sz w:val="24"/>
        </w:rPr>
        <w:t>．</w:t>
      </w:r>
      <w:r w:rsidRPr="00DC4C6C">
        <w:rPr>
          <w:rFonts w:ascii="Times New Roman" w:hAnsi="Times New Roman"/>
          <w:sz w:val="24"/>
        </w:rPr>
        <w:t>检验后各项</w:t>
      </w:r>
      <w:r w:rsidRPr="00DC4C6C">
        <w:rPr>
          <w:rFonts w:ascii="Times New Roman" w:hAnsi="Times New Roman" w:hint="eastAsia"/>
          <w:sz w:val="24"/>
        </w:rPr>
        <w:t>质量</w:t>
      </w:r>
      <w:r w:rsidRPr="00DC4C6C">
        <w:rPr>
          <w:rFonts w:ascii="Times New Roman" w:hAnsi="Times New Roman"/>
          <w:sz w:val="24"/>
        </w:rPr>
        <w:t>指标均符合</w:t>
      </w:r>
      <w:r w:rsidRPr="00DC4C6C">
        <w:rPr>
          <w:rFonts w:ascii="Times New Roman" w:hAnsi="Times New Roman" w:hint="eastAsia"/>
          <w:sz w:val="24"/>
        </w:rPr>
        <w:t>《广州市机制砂混凝土应用技术指引》</w:t>
      </w:r>
      <w:r w:rsidRPr="00DC4C6C">
        <w:rPr>
          <w:rFonts w:ascii="Times New Roman" w:hAnsi="Times New Roman"/>
          <w:sz w:val="24"/>
        </w:rPr>
        <w:t>的相应类别规定时，可判定该批产品合格。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DC4C6C">
        <w:rPr>
          <w:rFonts w:ascii="Times New Roman" w:hAnsi="Times New Roman" w:hint="eastAsia"/>
          <w:sz w:val="24"/>
        </w:rPr>
        <w:t>2</w:t>
      </w:r>
      <w:r w:rsidRPr="00DC4C6C">
        <w:rPr>
          <w:rFonts w:ascii="Times New Roman" w:hAnsi="Times New Roman" w:hint="eastAsia"/>
          <w:sz w:val="24"/>
        </w:rPr>
        <w:t>．</w:t>
      </w:r>
      <w:r w:rsidRPr="00DC4C6C">
        <w:rPr>
          <w:rFonts w:ascii="Times New Roman" w:hAnsi="Times New Roman"/>
          <w:sz w:val="24"/>
        </w:rPr>
        <w:t>检验中</w:t>
      </w:r>
      <w:r w:rsidRPr="00DC4C6C">
        <w:rPr>
          <w:rFonts w:ascii="Times New Roman" w:hAnsi="Times New Roman" w:hint="eastAsia"/>
          <w:sz w:val="24"/>
        </w:rPr>
        <w:t>质量指标</w:t>
      </w:r>
      <w:r w:rsidRPr="00DC4C6C">
        <w:rPr>
          <w:rFonts w:ascii="Times New Roman" w:hAnsi="Times New Roman"/>
          <w:sz w:val="24"/>
        </w:rPr>
        <w:t>若有一项不符合</w:t>
      </w:r>
      <w:r w:rsidRPr="00DC4C6C">
        <w:rPr>
          <w:rFonts w:ascii="Times New Roman" w:hAnsi="Times New Roman" w:hint="eastAsia"/>
          <w:sz w:val="24"/>
        </w:rPr>
        <w:t>《广州市机制砂混凝土应用技术指引》规定</w:t>
      </w:r>
      <w:r w:rsidRPr="00DC4C6C">
        <w:rPr>
          <w:rFonts w:ascii="Times New Roman" w:hAnsi="Times New Roman"/>
          <w:sz w:val="24"/>
        </w:rPr>
        <w:t>时，则应从同一批产品中</w:t>
      </w:r>
      <w:r w:rsidRPr="00DC4C6C">
        <w:rPr>
          <w:rFonts w:ascii="Times New Roman" w:hAnsi="Times New Roman" w:hint="eastAsia"/>
          <w:sz w:val="24"/>
        </w:rPr>
        <w:t>双倍</w:t>
      </w:r>
      <w:r w:rsidRPr="00DC4C6C">
        <w:rPr>
          <w:rFonts w:ascii="Times New Roman" w:hAnsi="Times New Roman"/>
          <w:sz w:val="24"/>
        </w:rPr>
        <w:t>取样，对</w:t>
      </w:r>
      <w:r w:rsidRPr="00DC4C6C">
        <w:rPr>
          <w:rFonts w:ascii="Times New Roman" w:hAnsi="Times New Roman" w:hint="eastAsia"/>
          <w:sz w:val="24"/>
        </w:rPr>
        <w:t>该项指标</w:t>
      </w:r>
      <w:r w:rsidRPr="00DC4C6C">
        <w:rPr>
          <w:rFonts w:ascii="Times New Roman" w:hAnsi="Times New Roman"/>
          <w:sz w:val="24"/>
        </w:rPr>
        <w:t>进行复</w:t>
      </w:r>
      <w:r w:rsidRPr="00DC4C6C">
        <w:rPr>
          <w:rFonts w:ascii="Times New Roman" w:hAnsi="Times New Roman" w:hint="eastAsia"/>
          <w:sz w:val="24"/>
        </w:rPr>
        <w:t>检</w:t>
      </w:r>
      <w:r w:rsidRPr="00DC4C6C">
        <w:rPr>
          <w:rFonts w:ascii="Times New Roman" w:hAnsi="Times New Roman"/>
          <w:sz w:val="24"/>
        </w:rPr>
        <w:t>。复</w:t>
      </w:r>
      <w:r w:rsidRPr="00DC4C6C">
        <w:rPr>
          <w:rFonts w:ascii="Times New Roman" w:hAnsi="Times New Roman" w:hint="eastAsia"/>
          <w:sz w:val="24"/>
        </w:rPr>
        <w:t>检</w:t>
      </w:r>
      <w:r w:rsidRPr="00DC4C6C">
        <w:rPr>
          <w:rFonts w:ascii="Times New Roman" w:hAnsi="Times New Roman"/>
          <w:sz w:val="24"/>
        </w:rPr>
        <w:t>后，</w:t>
      </w:r>
      <w:r w:rsidRPr="00DC4C6C">
        <w:rPr>
          <w:rFonts w:ascii="Times New Roman" w:hAnsi="Times New Roman" w:hint="eastAsia"/>
          <w:sz w:val="24"/>
        </w:rPr>
        <w:t>若</w:t>
      </w:r>
      <w:r w:rsidRPr="00DC4C6C">
        <w:rPr>
          <w:rFonts w:ascii="Times New Roman" w:hAnsi="Times New Roman"/>
          <w:sz w:val="24"/>
        </w:rPr>
        <w:t>该项指标符合</w:t>
      </w:r>
      <w:r w:rsidRPr="00DC4C6C">
        <w:rPr>
          <w:rFonts w:ascii="Times New Roman" w:hAnsi="Times New Roman" w:hint="eastAsia"/>
          <w:sz w:val="24"/>
        </w:rPr>
        <w:t>《广州市机制砂混凝土应用技术指引》的技术</w:t>
      </w:r>
      <w:r w:rsidRPr="00DC4C6C">
        <w:rPr>
          <w:rFonts w:ascii="Times New Roman" w:hAnsi="Times New Roman"/>
          <w:sz w:val="24"/>
        </w:rPr>
        <w:t>要求，可判定该批产品合格；</w:t>
      </w:r>
      <w:r w:rsidRPr="00DC4C6C">
        <w:rPr>
          <w:rFonts w:ascii="Times New Roman" w:hAnsi="Times New Roman" w:hint="eastAsia"/>
          <w:sz w:val="24"/>
        </w:rPr>
        <w:t>若仍然不符合技术要求，</w:t>
      </w:r>
      <w:r w:rsidRPr="00DC4C6C">
        <w:rPr>
          <w:rFonts w:ascii="Times New Roman" w:hAnsi="Times New Roman"/>
          <w:sz w:val="24"/>
        </w:rPr>
        <w:t>则判为不合格。</w:t>
      </w:r>
      <w:r w:rsidRPr="00DC4C6C">
        <w:rPr>
          <w:rFonts w:ascii="Times New Roman" w:hAnsi="Times New Roman" w:hint="eastAsia"/>
          <w:sz w:val="24"/>
        </w:rPr>
        <w:t>若有两项及以上质量指标不符合《广州市机制砂混凝土应用技术指引》的规定，则判该批产品不合格。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ind w:firstLine="562"/>
        <w:jc w:val="center"/>
        <w:outlineLvl w:val="1"/>
        <w:rPr>
          <w:rFonts w:ascii="Times New Roman" w:eastAsia="黑体" w:hAnsi="Times New Roman"/>
          <w:kern w:val="0"/>
          <w:sz w:val="28"/>
        </w:rPr>
      </w:pPr>
      <w:bookmarkStart w:id="49" w:name="_Toc73450695"/>
      <w:r w:rsidRPr="00DC4C6C">
        <w:rPr>
          <w:rFonts w:ascii="Times New Roman" w:eastAsia="黑体" w:hAnsi="Times New Roman" w:hint="eastAsia"/>
          <w:bCs/>
          <w:kern w:val="0"/>
          <w:sz w:val="28"/>
        </w:rPr>
        <w:t xml:space="preserve">7.5  </w:t>
      </w:r>
      <w:r w:rsidRPr="00DC4C6C">
        <w:rPr>
          <w:rFonts w:ascii="Times New Roman" w:eastAsia="黑体" w:hAnsi="Times New Roman" w:hint="eastAsia"/>
          <w:bCs/>
          <w:kern w:val="0"/>
          <w:sz w:val="28"/>
        </w:rPr>
        <w:t>验收</w:t>
      </w:r>
      <w:bookmarkEnd w:id="49"/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7.5.1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生产企业应随车提供机制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产品质量出厂合格证，并应提供在有效期限内的型式检验报告。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7.5.2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进场（厂）时，按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6</w:t>
      </w:r>
      <w:r w:rsidRPr="00DC4C6C">
        <w:rPr>
          <w:rFonts w:ascii="Times New Roman" w:hAnsi="Times New Roman" w:cs="Mongolian Baiti"/>
          <w:bCs/>
          <w:sz w:val="24"/>
          <w:szCs w:val="22"/>
        </w:rPr>
        <w:t>00t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为一批分批</w:t>
      </w:r>
      <w:bookmarkStart w:id="50" w:name="_Hlk61622503"/>
      <w:r w:rsidRPr="00DC4C6C">
        <w:rPr>
          <w:rFonts w:ascii="Times New Roman" w:hAnsi="Times New Roman" w:cs="Mongolian Baiti" w:hint="eastAsia"/>
          <w:bCs/>
          <w:sz w:val="24"/>
          <w:szCs w:val="22"/>
        </w:rPr>
        <w:t>核查出厂检验报告单</w:t>
      </w:r>
      <w:bookmarkEnd w:id="50"/>
      <w:r w:rsidRPr="00DC4C6C">
        <w:rPr>
          <w:rFonts w:ascii="Times New Roman" w:hAnsi="Times New Roman" w:cs="Mongolian Baiti" w:hint="eastAsia"/>
          <w:bCs/>
          <w:sz w:val="24"/>
          <w:szCs w:val="22"/>
        </w:rPr>
        <w:t>；若质量稳定，可按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1</w:t>
      </w:r>
      <w:r w:rsidRPr="00DC4C6C">
        <w:rPr>
          <w:rFonts w:ascii="Times New Roman" w:hAnsi="Times New Roman" w:cs="Mongolian Baiti"/>
          <w:bCs/>
          <w:sz w:val="24"/>
          <w:szCs w:val="22"/>
        </w:rPr>
        <w:t>000t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为一批核查出厂检验报告单。</w:t>
      </w:r>
    </w:p>
    <w:p w:rsidR="00DC4C6C" w:rsidRPr="00DC4C6C" w:rsidRDefault="00DC4C6C" w:rsidP="00DC4C6C">
      <w:pPr>
        <w:adjustRightInd w:val="0"/>
        <w:spacing w:line="360" w:lineRule="auto"/>
        <w:ind w:firstLineChars="100" w:firstLine="241"/>
        <w:rPr>
          <w:rFonts w:ascii="Times New Roman" w:hAnsi="Times New Roman" w:cs="Mongolian Baiti"/>
          <w:b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7.5.3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进场（厂）后按送料单对机制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进行验收，进场（厂）检验应在供需双方同时在场的条件下在交货地点进行取样。</w:t>
      </w: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Times New Roman"/>
          <w:sz w:val="24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snapToGrid w:val="0"/>
        <w:spacing w:line="360" w:lineRule="auto"/>
        <w:ind w:firstLineChars="200" w:firstLine="480"/>
        <w:rPr>
          <w:rFonts w:ascii="Times New Roman" w:hAnsi="Times New Roman"/>
          <w:sz w:val="24"/>
        </w:r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51" w:name="_Toc73450696"/>
      <w:r w:rsidRPr="00DC4C6C">
        <w:rPr>
          <w:rFonts w:ascii="Times New Roman" w:eastAsia="黑体" w:hAnsi="Times New Roman" w:cs="Mongolian Baiti"/>
          <w:bCs/>
          <w:kern w:val="44"/>
          <w:sz w:val="36"/>
          <w:szCs w:val="44"/>
        </w:rPr>
        <w:t>8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 xml:space="preserve"> 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标识、储存和运输</w:t>
      </w:r>
      <w:bookmarkEnd w:id="51"/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52" w:name="_Toc73450697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8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.1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标识</w:t>
      </w:r>
      <w:bookmarkEnd w:id="52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</w:t>
      </w:r>
      <w:r w:rsidRPr="00DC4C6C">
        <w:rPr>
          <w:rFonts w:ascii="Times New Roman" w:hAnsi="Times New Roman" w:cs="Mongolian Baiti"/>
          <w:b/>
          <w:sz w:val="24"/>
          <w:szCs w:val="22"/>
        </w:rPr>
        <w:t>1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</w:t>
      </w:r>
      <w:r w:rsidRPr="00DC4C6C">
        <w:rPr>
          <w:rFonts w:ascii="Times New Roman" w:hAnsi="Times New Roman" w:cs="Mongolian Baiti"/>
          <w:b/>
          <w:sz w:val="24"/>
          <w:szCs w:val="22"/>
        </w:rPr>
        <w:t>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出厂时，生产企业应提供产品质量合格证书，其内容包括：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a)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机制砂的产地、分类、品种、规格、类别和生产企业名称；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b)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生产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批次号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及供货数量；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c)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出厂检验结果、日期及执行标准编号；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d)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合格证编号及发放日期；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e)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检验部门及检验人员签章。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8.1.2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对于湿法机制砂，其产品质量合格证书中还应注明生产所用絮凝剂的种类、浓度和掺量。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53" w:name="_Toc73450698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8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.</w:t>
      </w:r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2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储存</w:t>
      </w:r>
      <w:bookmarkEnd w:id="53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.1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成品堆场（库）应根据生产方式和规模、产品规格、地形条件、堆料设备及进出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料方式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等条件进行设计和布置。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成品堆（库）应隔离分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仓防止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成品混级。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.3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成品堆（库）应具备防水、排水功能，防止积水。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成品堆（库）应防止泥土等杂质混入，保持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产品洁净。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eastAsia="黑体" w:hAnsi="Times New Roman"/>
          <w:bCs/>
          <w:kern w:val="0"/>
          <w:sz w:val="28"/>
          <w:lang w:val="en-GB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8.2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成品堆放过程中应尽量避免离析，尽量水平堆放，减缓堆料坡度，避免在堆料的斜坡上卸下机制砂，以免离析造成级配变化。若卸料的跌落高度、落差过大，应辅以梯式或螺旋式缓降器卸料。如采用动臂堆料机，应分层堆料，逐层上升，避免堆料过高或运转过多。</w:t>
      </w:r>
    </w:p>
    <w:p w:rsidR="00DC4C6C" w:rsidRPr="00DC4C6C" w:rsidRDefault="00DC4C6C" w:rsidP="00DC4C6C">
      <w:pPr>
        <w:keepNext/>
        <w:keepLines/>
        <w:adjustRightInd w:val="0"/>
        <w:snapToGrid w:val="0"/>
        <w:spacing w:beforeLines="100" w:before="312" w:afterLines="100" w:after="312" w:line="360" w:lineRule="auto"/>
        <w:jc w:val="center"/>
        <w:outlineLvl w:val="1"/>
        <w:rPr>
          <w:rFonts w:ascii="Times New Roman" w:eastAsia="黑体" w:hAnsi="Times New Roman"/>
          <w:bCs/>
          <w:kern w:val="0"/>
          <w:sz w:val="28"/>
          <w:lang w:val="en-GB"/>
        </w:rPr>
      </w:pPr>
      <w:bookmarkStart w:id="54" w:name="_Toc73450699"/>
      <w:r w:rsidRPr="00DC4C6C">
        <w:rPr>
          <w:rFonts w:ascii="Times New Roman" w:eastAsia="黑体" w:hAnsi="Times New Roman"/>
          <w:bCs/>
          <w:kern w:val="0"/>
          <w:sz w:val="28"/>
          <w:lang w:val="en-GB"/>
        </w:rPr>
        <w:t>8.3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 xml:space="preserve">  </w:t>
      </w:r>
      <w:r w:rsidRPr="00DC4C6C">
        <w:rPr>
          <w:rFonts w:ascii="Times New Roman" w:eastAsia="黑体" w:hAnsi="Times New Roman" w:hint="eastAsia"/>
          <w:bCs/>
          <w:kern w:val="0"/>
          <w:sz w:val="28"/>
          <w:lang w:val="en-GB"/>
        </w:rPr>
        <w:t>运输</w:t>
      </w:r>
      <w:bookmarkEnd w:id="54"/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8.3.1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运输车辆应达到当地机动车污染物排放标准要求，并在装运前对运输车辆货舱杂物进行清扫，且货舱应有防止扬尘及抛撒的遮盖。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8.3.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2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运输车辆应与机制砂料堆保持距离，以免破碎或者污染砂堆。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/>
          <w:sz w:val="24"/>
          <w:szCs w:val="22"/>
        </w:rPr>
      </w:pPr>
      <w:r w:rsidRPr="00DC4C6C">
        <w:rPr>
          <w:rFonts w:ascii="Times New Roman" w:hAnsi="Times New Roman" w:cs="Mongolian Baiti" w:hint="eastAsia"/>
          <w:b/>
          <w:sz w:val="24"/>
          <w:szCs w:val="22"/>
        </w:rPr>
        <w:t xml:space="preserve">8.3.3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同一车辆装料时，应从料堆边缘开始取料，向料堆中央推进，装载机装料后在运输车辆上均匀卸料，保证料堆不同位置机制砂在运输车辆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厢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体内呈不同层次分布，以防产品在装载过程中出现离析。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8.3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.4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机制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砂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厂家应制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订运输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管理制度，并应采用定位系统管理车辆运行，合理指挥调度。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8.3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.5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运输车辆在驶离生产企业区前应进行冲洗，严禁车轮带泥上路。</w:t>
      </w:r>
    </w:p>
    <w:p w:rsidR="00DC4C6C" w:rsidRPr="00DC4C6C" w:rsidRDefault="00DC4C6C" w:rsidP="00DC4C6C">
      <w:pPr>
        <w:adjustRightInd w:val="0"/>
        <w:snapToGrid w:val="0"/>
        <w:spacing w:line="360" w:lineRule="auto"/>
        <w:ind w:firstLineChars="100" w:firstLine="241"/>
        <w:rPr>
          <w:rFonts w:ascii="Times New Roman" w:hAnsi="Times New Roman" w:cs="Mongolian Baiti"/>
          <w:bCs/>
          <w:sz w:val="24"/>
          <w:szCs w:val="22"/>
        </w:rPr>
      </w:pPr>
      <w:r w:rsidRPr="00DC4C6C">
        <w:rPr>
          <w:rFonts w:ascii="Times New Roman" w:hAnsi="Times New Roman" w:cs="Mongolian Baiti"/>
          <w:b/>
          <w:sz w:val="24"/>
          <w:szCs w:val="22"/>
        </w:rPr>
        <w:t>8.3</w:t>
      </w:r>
      <w:r w:rsidRPr="00DC4C6C">
        <w:rPr>
          <w:rFonts w:ascii="Times New Roman" w:hAnsi="Times New Roman" w:cs="Mongolian Baiti" w:hint="eastAsia"/>
          <w:b/>
          <w:sz w:val="24"/>
          <w:szCs w:val="22"/>
        </w:rPr>
        <w:t>.6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 xml:space="preserve">  </w:t>
      </w:r>
      <w:r w:rsidRPr="00DC4C6C">
        <w:rPr>
          <w:rFonts w:ascii="Times New Roman" w:hAnsi="Times New Roman" w:cs="Mongolian Baiti" w:hint="eastAsia"/>
          <w:bCs/>
          <w:sz w:val="24"/>
          <w:szCs w:val="22"/>
        </w:rPr>
        <w:t>运输车辆卸料槽口应加装溢料收集装置，行驶中应对卸料槽等活动部件进行固定，确保</w:t>
      </w:r>
      <w:proofErr w:type="gramStart"/>
      <w:r w:rsidRPr="00DC4C6C">
        <w:rPr>
          <w:rFonts w:ascii="Times New Roman" w:hAnsi="Times New Roman" w:cs="Mongolian Baiti" w:hint="eastAsia"/>
          <w:bCs/>
          <w:sz w:val="24"/>
          <w:szCs w:val="22"/>
        </w:rPr>
        <w:t>不</w:t>
      </w:r>
      <w:proofErr w:type="gramEnd"/>
      <w:r w:rsidRPr="00DC4C6C">
        <w:rPr>
          <w:rFonts w:ascii="Times New Roman" w:hAnsi="Times New Roman" w:cs="Mongolian Baiti" w:hint="eastAsia"/>
          <w:bCs/>
          <w:sz w:val="24"/>
          <w:szCs w:val="22"/>
        </w:rPr>
        <w:t>抛洒滴漏，车内的剩料严禁随意倾倒。</w:t>
      </w: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55" w:name="_Toc73450700"/>
      <w:r w:rsidRPr="00DC4C6C">
        <w:rPr>
          <w:rFonts w:ascii="Times New Roman" w:eastAsia="黑体" w:hAnsi="Times New Roman" w:cs="Mongolian Baiti"/>
          <w:bCs/>
          <w:kern w:val="44"/>
          <w:sz w:val="36"/>
          <w:szCs w:val="44"/>
        </w:rPr>
        <w:t>本</w:t>
      </w:r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指引</w:t>
      </w:r>
      <w:r w:rsidRPr="00DC4C6C">
        <w:rPr>
          <w:rFonts w:ascii="Times New Roman" w:eastAsia="黑体" w:hAnsi="Times New Roman" w:cs="Mongolian Baiti"/>
          <w:bCs/>
          <w:kern w:val="44"/>
          <w:sz w:val="36"/>
          <w:szCs w:val="44"/>
        </w:rPr>
        <w:t>用词说明</w:t>
      </w:r>
      <w:bookmarkEnd w:id="48"/>
      <w:bookmarkEnd w:id="55"/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sz w:val="24"/>
        </w:rPr>
        <w:t>1</w:t>
      </w:r>
      <w:r w:rsidRPr="00DC4C6C">
        <w:rPr>
          <w:rFonts w:ascii="Times New Roman" w:hAnsi="Times New Roman" w:cs="Mongolian Baiti" w:hint="eastAsia"/>
          <w:sz w:val="24"/>
        </w:rPr>
        <w:t>．</w:t>
      </w:r>
      <w:r w:rsidRPr="00DC4C6C">
        <w:rPr>
          <w:rFonts w:ascii="Times New Roman" w:hAnsi="Times New Roman" w:cs="Mongolian Baiti"/>
          <w:sz w:val="24"/>
        </w:rPr>
        <w:t>为便于在执行本</w:t>
      </w:r>
      <w:r w:rsidRPr="00DC4C6C">
        <w:rPr>
          <w:rFonts w:ascii="Times New Roman" w:hAnsi="Times New Roman" w:cs="Mongolian Baiti" w:hint="eastAsia"/>
          <w:sz w:val="24"/>
        </w:rPr>
        <w:t>指引</w:t>
      </w:r>
      <w:r w:rsidRPr="00DC4C6C">
        <w:rPr>
          <w:rFonts w:ascii="Times New Roman" w:hAnsi="Times New Roman" w:cs="Mongolian Baiti"/>
          <w:sz w:val="24"/>
        </w:rPr>
        <w:t>条文时</w:t>
      </w:r>
      <w:r w:rsidRPr="00DC4C6C">
        <w:rPr>
          <w:rFonts w:ascii="Times New Roman" w:hAnsi="Times New Roman" w:cs="Mongolian Baiti" w:hint="eastAsia"/>
          <w:sz w:val="24"/>
        </w:rPr>
        <w:t>区别对待</w:t>
      </w:r>
      <w:r w:rsidRPr="00DC4C6C">
        <w:rPr>
          <w:rFonts w:ascii="Times New Roman" w:hAnsi="Times New Roman" w:cs="Mongolian Baiti"/>
          <w:sz w:val="24"/>
        </w:rPr>
        <w:t>，对要求严格程度的用词说明如下：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 w:hint="eastAsia"/>
          <w:sz w:val="24"/>
        </w:rPr>
        <w:t>（</w:t>
      </w:r>
      <w:r w:rsidRPr="00DC4C6C">
        <w:rPr>
          <w:rFonts w:ascii="Times New Roman" w:hAnsi="Times New Roman" w:cs="Mongolian Baiti"/>
          <w:sz w:val="24"/>
        </w:rPr>
        <w:t>1</w:t>
      </w:r>
      <w:r w:rsidRPr="00DC4C6C">
        <w:rPr>
          <w:rFonts w:ascii="Times New Roman" w:hAnsi="Times New Roman" w:cs="Mongolian Baiti"/>
          <w:sz w:val="24"/>
        </w:rPr>
        <w:t>）表示很严格，非这样做不可的：</w:t>
      </w:r>
    </w:p>
    <w:p w:rsidR="00DC4C6C" w:rsidRPr="00DC4C6C" w:rsidRDefault="00DC4C6C" w:rsidP="00DC4C6C">
      <w:pPr>
        <w:spacing w:line="360" w:lineRule="auto"/>
        <w:ind w:firstLineChars="450" w:firstLine="10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sz w:val="24"/>
        </w:rPr>
        <w:t>正面词是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必须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，反面</w:t>
      </w:r>
      <w:proofErr w:type="gramStart"/>
      <w:r w:rsidRPr="00DC4C6C">
        <w:rPr>
          <w:rFonts w:ascii="Times New Roman" w:hAnsi="Times New Roman" w:cs="Mongolian Baiti"/>
          <w:sz w:val="24"/>
        </w:rPr>
        <w:t>词采用</w:t>
      </w:r>
      <w:proofErr w:type="gramEnd"/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严禁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 w:hint="eastAsia"/>
          <w:sz w:val="24"/>
        </w:rPr>
        <w:t>（</w:t>
      </w:r>
      <w:r w:rsidRPr="00DC4C6C">
        <w:rPr>
          <w:rFonts w:ascii="Times New Roman" w:hAnsi="Times New Roman" w:cs="Mongolian Baiti"/>
          <w:sz w:val="24"/>
        </w:rPr>
        <w:t>2</w:t>
      </w:r>
      <w:r w:rsidRPr="00DC4C6C">
        <w:rPr>
          <w:rFonts w:ascii="Times New Roman" w:hAnsi="Times New Roman" w:cs="Mongolian Baiti"/>
          <w:sz w:val="24"/>
        </w:rPr>
        <w:t>）表示严格，在正常情况下均应这样做的：</w:t>
      </w:r>
    </w:p>
    <w:p w:rsidR="00DC4C6C" w:rsidRPr="00DC4C6C" w:rsidRDefault="00DC4C6C" w:rsidP="00DC4C6C">
      <w:pPr>
        <w:spacing w:line="360" w:lineRule="auto"/>
        <w:ind w:firstLineChars="450" w:firstLine="10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sz w:val="24"/>
        </w:rPr>
        <w:t>正面词是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应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，反面</w:t>
      </w:r>
      <w:proofErr w:type="gramStart"/>
      <w:r w:rsidRPr="00DC4C6C">
        <w:rPr>
          <w:rFonts w:ascii="Times New Roman" w:hAnsi="Times New Roman" w:cs="Mongolian Baiti"/>
          <w:sz w:val="24"/>
        </w:rPr>
        <w:t>词采用</w:t>
      </w:r>
      <w:proofErr w:type="gramEnd"/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不应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或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不得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 w:hint="eastAsia"/>
          <w:sz w:val="24"/>
        </w:rPr>
        <w:t>（</w:t>
      </w:r>
      <w:r w:rsidRPr="00DC4C6C">
        <w:rPr>
          <w:rFonts w:ascii="Times New Roman" w:hAnsi="Times New Roman" w:cs="Mongolian Baiti"/>
          <w:sz w:val="24"/>
        </w:rPr>
        <w:t>3</w:t>
      </w:r>
      <w:r w:rsidRPr="00DC4C6C">
        <w:rPr>
          <w:rFonts w:ascii="Times New Roman" w:hAnsi="Times New Roman" w:cs="Mongolian Baiti"/>
          <w:sz w:val="24"/>
        </w:rPr>
        <w:t>）表示</w:t>
      </w:r>
      <w:r w:rsidRPr="00DC4C6C">
        <w:rPr>
          <w:rFonts w:ascii="Times New Roman" w:hAnsi="Times New Roman" w:cs="Mongolian Baiti" w:hint="eastAsia"/>
          <w:sz w:val="24"/>
        </w:rPr>
        <w:t>允</w:t>
      </w:r>
      <w:r w:rsidRPr="00DC4C6C">
        <w:rPr>
          <w:rFonts w:ascii="Times New Roman" w:hAnsi="Times New Roman" w:cs="Mongolian Baiti"/>
          <w:sz w:val="24"/>
        </w:rPr>
        <w:t>许稍有选择，在条件许可的条件下首先应该这样做的：</w:t>
      </w:r>
    </w:p>
    <w:p w:rsidR="00DC4C6C" w:rsidRPr="00DC4C6C" w:rsidRDefault="00DC4C6C" w:rsidP="00DC4C6C">
      <w:pPr>
        <w:spacing w:line="360" w:lineRule="auto"/>
        <w:ind w:firstLineChars="450" w:firstLine="10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/>
          <w:sz w:val="24"/>
        </w:rPr>
        <w:t>正面词是</w:t>
      </w:r>
      <w:r w:rsidRPr="00DC4C6C">
        <w:rPr>
          <w:rFonts w:ascii="Times New Roman" w:hAnsi="Times New Roman" w:cs="Mongolian Baiti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应</w:t>
      </w:r>
      <w:r w:rsidRPr="00DC4C6C">
        <w:rPr>
          <w:rFonts w:ascii="Times New Roman" w:hAnsi="Times New Roman" w:cs="Mongolian Baiti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，反面</w:t>
      </w:r>
      <w:proofErr w:type="gramStart"/>
      <w:r w:rsidRPr="00DC4C6C">
        <w:rPr>
          <w:rFonts w:ascii="Times New Roman" w:hAnsi="Times New Roman" w:cs="Mongolian Baiti"/>
          <w:sz w:val="24"/>
        </w:rPr>
        <w:t>词采用</w:t>
      </w:r>
      <w:proofErr w:type="gramEnd"/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不应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；</w:t>
      </w:r>
    </w:p>
    <w:p w:rsidR="00DC4C6C" w:rsidRPr="00DC4C6C" w:rsidRDefault="00DC4C6C" w:rsidP="00DC4C6C">
      <w:pPr>
        <w:spacing w:line="360" w:lineRule="auto"/>
        <w:ind w:firstLineChars="200" w:firstLine="480"/>
        <w:rPr>
          <w:rFonts w:ascii="Times New Roman" w:hAnsi="Times New Roman" w:cs="Mongolian Baiti"/>
          <w:sz w:val="24"/>
        </w:rPr>
      </w:pPr>
      <w:r w:rsidRPr="00DC4C6C">
        <w:rPr>
          <w:rFonts w:ascii="Times New Roman" w:hAnsi="Times New Roman" w:cs="Mongolian Baiti" w:hint="eastAsia"/>
          <w:sz w:val="24"/>
        </w:rPr>
        <w:t>（</w:t>
      </w:r>
      <w:r w:rsidRPr="00DC4C6C">
        <w:rPr>
          <w:rFonts w:ascii="Times New Roman" w:hAnsi="Times New Roman" w:cs="Mongolian Baiti"/>
          <w:sz w:val="24"/>
        </w:rPr>
        <w:t>4</w:t>
      </w:r>
      <w:r w:rsidRPr="00DC4C6C">
        <w:rPr>
          <w:rFonts w:ascii="Times New Roman" w:hAnsi="Times New Roman" w:cs="Mongolian Baiti"/>
          <w:sz w:val="24"/>
        </w:rPr>
        <w:t>）表示有选择，在一定条件下可以这样做的，采用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可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。</w:t>
      </w:r>
    </w:p>
    <w:p w:rsidR="00DC4C6C" w:rsidRPr="00DC4C6C" w:rsidRDefault="00DC4C6C" w:rsidP="00DC4C6C">
      <w:pPr>
        <w:ind w:firstLineChars="200" w:firstLine="480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/>
          <w:sz w:val="24"/>
        </w:rPr>
        <w:t>2</w:t>
      </w:r>
      <w:r w:rsidRPr="00DC4C6C">
        <w:rPr>
          <w:rFonts w:ascii="Times New Roman" w:hAnsi="Times New Roman" w:cs="Mongolian Baiti" w:hint="eastAsia"/>
          <w:sz w:val="24"/>
        </w:rPr>
        <w:t>．</w:t>
      </w:r>
      <w:r w:rsidRPr="00DC4C6C">
        <w:rPr>
          <w:rFonts w:ascii="Times New Roman" w:hAnsi="Times New Roman" w:cs="Mongolian Baiti"/>
          <w:sz w:val="24"/>
        </w:rPr>
        <w:t>条文中指明应按其他有关标准执行的写法为：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应符合</w:t>
      </w:r>
      <w:r w:rsidRPr="00DC4C6C">
        <w:rPr>
          <w:rFonts w:ascii="Times New Roman" w:hAnsi="Times New Roman" w:cs="Mongolian Baiti"/>
          <w:sz w:val="24"/>
        </w:rPr>
        <w:t>……</w:t>
      </w:r>
      <w:r w:rsidRPr="00DC4C6C">
        <w:rPr>
          <w:rFonts w:ascii="Times New Roman" w:hAnsi="Times New Roman" w:cs="Mongolian Baiti"/>
          <w:sz w:val="24"/>
        </w:rPr>
        <w:t>的规定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，或</w:t>
      </w:r>
      <w:r w:rsidRPr="00DC4C6C">
        <w:rPr>
          <w:rFonts w:ascii="Times New Roman" w:hAnsi="Times New Roman" w:cs="Mongolian Baiti" w:hint="eastAsia"/>
          <w:sz w:val="24"/>
        </w:rPr>
        <w:t>“</w:t>
      </w:r>
      <w:r w:rsidRPr="00DC4C6C">
        <w:rPr>
          <w:rFonts w:ascii="Times New Roman" w:hAnsi="Times New Roman" w:cs="Mongolian Baiti"/>
          <w:sz w:val="24"/>
        </w:rPr>
        <w:t>应按</w:t>
      </w:r>
      <w:r w:rsidRPr="00DC4C6C">
        <w:rPr>
          <w:rFonts w:ascii="Times New Roman" w:hAnsi="Times New Roman" w:cs="Mongolian Baiti"/>
          <w:sz w:val="24"/>
        </w:rPr>
        <w:t>……</w:t>
      </w:r>
      <w:r w:rsidRPr="00DC4C6C">
        <w:rPr>
          <w:rFonts w:ascii="Times New Roman" w:hAnsi="Times New Roman" w:cs="Mongolian Baiti"/>
          <w:sz w:val="24"/>
        </w:rPr>
        <w:t>执行</w:t>
      </w:r>
      <w:r w:rsidRPr="00DC4C6C">
        <w:rPr>
          <w:rFonts w:ascii="Times New Roman" w:hAnsi="Times New Roman" w:cs="Mongolian Baiti" w:hint="eastAsia"/>
          <w:sz w:val="24"/>
        </w:rPr>
        <w:t>”</w:t>
      </w:r>
      <w:r w:rsidRPr="00DC4C6C">
        <w:rPr>
          <w:rFonts w:ascii="Times New Roman" w:hAnsi="Times New Roman" w:cs="Mongolian Baiti"/>
          <w:sz w:val="24"/>
        </w:rPr>
        <w:t>。</w:t>
      </w: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  <w:sectPr w:rsidR="00DC4C6C" w:rsidRPr="00DC4C6C">
          <w:pgSz w:w="11906" w:h="16838"/>
          <w:pgMar w:top="1440" w:right="1797" w:bottom="1440" w:left="1797" w:header="709" w:footer="709" w:gutter="0"/>
          <w:cols w:space="425"/>
          <w:docGrid w:type="lines" w:linePitch="312"/>
        </w:sectPr>
      </w:pPr>
    </w:p>
    <w:p w:rsidR="00DC4C6C" w:rsidRPr="00DC4C6C" w:rsidRDefault="00DC4C6C" w:rsidP="00DC4C6C">
      <w:pPr>
        <w:keepNext/>
        <w:keepLines/>
        <w:spacing w:before="260" w:after="260" w:line="300" w:lineRule="auto"/>
        <w:jc w:val="center"/>
        <w:outlineLvl w:val="0"/>
        <w:rPr>
          <w:rFonts w:ascii="Times New Roman" w:eastAsia="黑体" w:hAnsi="Times New Roman" w:cs="Mongolian Baiti"/>
          <w:bCs/>
          <w:kern w:val="44"/>
          <w:sz w:val="36"/>
          <w:szCs w:val="44"/>
        </w:rPr>
      </w:pPr>
      <w:bookmarkStart w:id="56" w:name="_Toc19349548"/>
      <w:bookmarkStart w:id="57" w:name="_Toc73450701"/>
      <w:r w:rsidRPr="00DC4C6C">
        <w:rPr>
          <w:rFonts w:ascii="Times New Roman" w:eastAsia="黑体" w:hAnsi="Times New Roman" w:cs="Mongolian Baiti" w:hint="eastAsia"/>
          <w:bCs/>
          <w:kern w:val="44"/>
          <w:sz w:val="36"/>
          <w:szCs w:val="44"/>
        </w:rPr>
        <w:t>引用标准名录</w:t>
      </w:r>
      <w:bookmarkEnd w:id="56"/>
      <w:bookmarkEnd w:id="57"/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lang w:val="en-GB"/>
        </w:rPr>
      </w:pPr>
      <w:r w:rsidRPr="00DC4C6C">
        <w:rPr>
          <w:rFonts w:ascii="Times New Roman" w:hAnsi="Times New Roman" w:hint="eastAsia"/>
          <w:sz w:val="24"/>
          <w:lang w:val="en-GB"/>
        </w:rPr>
        <w:t xml:space="preserve">1 </w:t>
      </w:r>
      <w:r w:rsidRPr="00DC4C6C">
        <w:rPr>
          <w:rFonts w:ascii="Times New Roman" w:hAnsi="Times New Roman" w:hint="eastAsia"/>
          <w:sz w:val="24"/>
          <w:lang w:val="en-GB"/>
        </w:rPr>
        <w:t>《建设用砂》</w:t>
      </w:r>
      <w:r w:rsidRPr="00DC4C6C">
        <w:rPr>
          <w:rFonts w:ascii="Times New Roman" w:hAnsi="Times New Roman"/>
          <w:sz w:val="24"/>
          <w:lang w:val="en-GB"/>
        </w:rPr>
        <w:t>GB/T 14684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lang w:val="en-GB"/>
        </w:rPr>
      </w:pPr>
      <w:r w:rsidRPr="00DC4C6C">
        <w:rPr>
          <w:rFonts w:ascii="Times New Roman" w:hAnsi="Times New Roman" w:hint="eastAsia"/>
          <w:sz w:val="24"/>
          <w:lang w:val="en-GB"/>
        </w:rPr>
        <w:t xml:space="preserve">2 </w:t>
      </w:r>
      <w:r w:rsidRPr="00DC4C6C">
        <w:rPr>
          <w:rFonts w:ascii="Times New Roman" w:hAnsi="Times New Roman" w:hint="eastAsia"/>
          <w:sz w:val="24"/>
          <w:lang w:val="en-GB"/>
        </w:rPr>
        <w:t>《普通混凝土用砂、石质量及检验方法标准》</w:t>
      </w:r>
      <w:r w:rsidRPr="00DC4C6C">
        <w:rPr>
          <w:rFonts w:ascii="Times New Roman" w:hAnsi="Times New Roman" w:hint="eastAsia"/>
          <w:sz w:val="24"/>
          <w:lang w:val="en-GB"/>
        </w:rPr>
        <w:t>JGJ 52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 w:hint="eastAsia"/>
          <w:sz w:val="24"/>
          <w:szCs w:val="22"/>
        </w:rPr>
        <w:t xml:space="preserve">3 </w:t>
      </w:r>
      <w:r w:rsidRPr="00DC4C6C">
        <w:rPr>
          <w:rFonts w:ascii="Times New Roman" w:hAnsi="Times New Roman" w:hint="eastAsia"/>
          <w:sz w:val="24"/>
          <w:szCs w:val="22"/>
        </w:rPr>
        <w:t>《建筑材料放射性核素限量》</w:t>
      </w:r>
      <w:r w:rsidRPr="00DC4C6C">
        <w:rPr>
          <w:rFonts w:ascii="Times New Roman" w:hAnsi="Times New Roman"/>
          <w:sz w:val="24"/>
          <w:szCs w:val="22"/>
        </w:rPr>
        <w:t>GB 6566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 w:hint="eastAsia"/>
          <w:sz w:val="24"/>
          <w:szCs w:val="22"/>
        </w:rPr>
        <w:t xml:space="preserve">4 </w:t>
      </w:r>
      <w:r w:rsidRPr="00DC4C6C">
        <w:rPr>
          <w:rFonts w:ascii="Times New Roman" w:hAnsi="Times New Roman" w:hint="eastAsia"/>
          <w:sz w:val="24"/>
          <w:szCs w:val="22"/>
        </w:rPr>
        <w:t>《企业安全生产标准化基本规范》</w:t>
      </w:r>
      <w:r w:rsidRPr="00DC4C6C">
        <w:rPr>
          <w:rFonts w:ascii="Times New Roman" w:hAnsi="Times New Roman" w:hint="eastAsia"/>
          <w:sz w:val="24"/>
          <w:szCs w:val="22"/>
        </w:rPr>
        <w:t>GB/T 33000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 w:hint="eastAsia"/>
          <w:sz w:val="24"/>
          <w:szCs w:val="22"/>
        </w:rPr>
        <w:t xml:space="preserve">5. </w:t>
      </w:r>
      <w:r w:rsidRPr="00DC4C6C">
        <w:rPr>
          <w:rFonts w:ascii="Times New Roman" w:hAnsi="宋体" w:hint="eastAsia"/>
          <w:sz w:val="24"/>
          <w:lang w:val="en-GB"/>
        </w:rPr>
        <w:t>《带式输送机工程设计规范》</w:t>
      </w:r>
      <w:r w:rsidRPr="00DC4C6C">
        <w:rPr>
          <w:rFonts w:ascii="Times New Roman" w:hAnsi="宋体" w:hint="eastAsia"/>
          <w:sz w:val="24"/>
          <w:lang w:val="en-GB"/>
        </w:rPr>
        <w:t>GB 50431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 w:hint="eastAsia"/>
          <w:sz w:val="24"/>
          <w:szCs w:val="22"/>
        </w:rPr>
        <w:t xml:space="preserve">6 </w:t>
      </w:r>
      <w:r w:rsidRPr="00DC4C6C">
        <w:rPr>
          <w:rFonts w:ascii="Times New Roman" w:hAnsi="Times New Roman" w:hint="eastAsia"/>
          <w:sz w:val="24"/>
          <w:szCs w:val="22"/>
        </w:rPr>
        <w:t>《污水综合排放标准》</w:t>
      </w:r>
      <w:r w:rsidRPr="00DC4C6C">
        <w:rPr>
          <w:rFonts w:ascii="Times New Roman" w:hAnsi="Times New Roman" w:hint="eastAsia"/>
          <w:sz w:val="24"/>
          <w:szCs w:val="22"/>
        </w:rPr>
        <w:t>GB 8978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 w:hint="eastAsia"/>
          <w:sz w:val="24"/>
          <w:szCs w:val="22"/>
        </w:rPr>
        <w:t>7</w:t>
      </w:r>
      <w:r w:rsidRPr="00DC4C6C">
        <w:rPr>
          <w:rFonts w:ascii="Times New Roman" w:hAnsi="Times New Roman"/>
          <w:sz w:val="24"/>
          <w:szCs w:val="22"/>
        </w:rPr>
        <w:t xml:space="preserve"> </w:t>
      </w:r>
      <w:r w:rsidRPr="00DC4C6C">
        <w:rPr>
          <w:rFonts w:ascii="Times New Roman" w:hAnsi="Times New Roman" w:hint="eastAsia"/>
          <w:bCs/>
          <w:sz w:val="24"/>
          <w:lang w:val="en-GB"/>
        </w:rPr>
        <w:t>《大气污染物综合排放标准》</w:t>
      </w:r>
      <w:r w:rsidRPr="00DC4C6C">
        <w:rPr>
          <w:rFonts w:ascii="Times New Roman" w:hAnsi="Times New Roman"/>
          <w:bCs/>
          <w:sz w:val="24"/>
          <w:lang w:val="en-GB"/>
        </w:rPr>
        <w:t>GB 16297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/>
          <w:sz w:val="24"/>
          <w:szCs w:val="22"/>
        </w:rPr>
      </w:pPr>
      <w:r w:rsidRPr="00DC4C6C">
        <w:rPr>
          <w:rFonts w:ascii="Times New Roman" w:hAnsi="Times New Roman"/>
          <w:sz w:val="24"/>
          <w:szCs w:val="22"/>
        </w:rPr>
        <w:t>8</w:t>
      </w:r>
      <w:r w:rsidRPr="00DC4C6C">
        <w:rPr>
          <w:rFonts w:ascii="Times New Roman" w:hAnsi="Times New Roman" w:hint="eastAsia"/>
          <w:sz w:val="24"/>
          <w:szCs w:val="22"/>
        </w:rPr>
        <w:t xml:space="preserve"> </w:t>
      </w:r>
      <w:r w:rsidRPr="00DC4C6C">
        <w:rPr>
          <w:rFonts w:ascii="Times New Roman" w:hAnsi="Times New Roman" w:hint="eastAsia"/>
          <w:sz w:val="24"/>
          <w:szCs w:val="22"/>
        </w:rPr>
        <w:t>《工业企业厂界环境噪声排放标准》</w:t>
      </w:r>
      <w:r w:rsidRPr="00DC4C6C">
        <w:rPr>
          <w:rFonts w:ascii="Times New Roman" w:hAnsi="Times New Roman" w:hint="eastAsia"/>
          <w:sz w:val="24"/>
          <w:szCs w:val="22"/>
        </w:rPr>
        <w:t>GB 12348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 w:cs="Mongolian Baiti"/>
          <w:bCs/>
          <w:sz w:val="24"/>
          <w:lang w:val="en-GB"/>
        </w:rPr>
      </w:pPr>
      <w:r w:rsidRPr="00DC4C6C">
        <w:rPr>
          <w:rFonts w:ascii="Times New Roman" w:hAnsi="Times New Roman" w:cs="Mongolian Baiti" w:hint="eastAsia"/>
          <w:sz w:val="24"/>
          <w:szCs w:val="22"/>
        </w:rPr>
        <w:t xml:space="preserve">9 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《砂石骨料绿色生产与运输评价标准》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T/CBMF-39</w:t>
      </w:r>
    </w:p>
    <w:p w:rsidR="00DC4C6C" w:rsidRPr="00DC4C6C" w:rsidRDefault="00DC4C6C" w:rsidP="00DC4C6C">
      <w:pPr>
        <w:spacing w:line="360" w:lineRule="auto"/>
        <w:ind w:firstLineChars="100" w:firstLine="240"/>
        <w:rPr>
          <w:rFonts w:ascii="Times New Roman" w:hAnsi="Times New Roman" w:cs="Mongolian Baiti"/>
          <w:sz w:val="24"/>
          <w:szCs w:val="22"/>
        </w:rPr>
      </w:pPr>
      <w:r w:rsidRPr="00DC4C6C">
        <w:rPr>
          <w:rFonts w:ascii="Times New Roman" w:hAnsi="Times New Roman" w:cs="Mongolian Baiti" w:hint="eastAsia"/>
          <w:bCs/>
          <w:sz w:val="24"/>
          <w:lang w:val="en-GB"/>
        </w:rPr>
        <w:t>10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《砂石行业绿色矿山建设规范》</w:t>
      </w:r>
      <w:r w:rsidRPr="00DC4C6C">
        <w:rPr>
          <w:rFonts w:ascii="Times New Roman" w:hAnsi="Times New Roman" w:cs="Mongolian Baiti" w:hint="eastAsia"/>
          <w:bCs/>
          <w:sz w:val="24"/>
          <w:lang w:val="en-GB"/>
        </w:rPr>
        <w:t>DZ/T 0316</w:t>
      </w:r>
    </w:p>
    <w:p w:rsidR="00DC4C6C" w:rsidRPr="00DC4C6C" w:rsidRDefault="00DC4C6C" w:rsidP="00DC4C6C">
      <w:pPr>
        <w:rPr>
          <w:rFonts w:ascii="黑体" w:eastAsia="黑体" w:hAnsi="黑体" w:cs="黑体"/>
          <w:kern w:val="0"/>
          <w:sz w:val="32"/>
          <w:szCs w:val="32"/>
          <w:lang w:val="en-GB"/>
        </w:rPr>
      </w:pPr>
    </w:p>
    <w:p w:rsidR="00DC4C6C" w:rsidRPr="00DC4C6C" w:rsidRDefault="00DC4C6C" w:rsidP="00DC4C6C">
      <w:pPr>
        <w:ind w:firstLineChars="200" w:firstLine="640"/>
        <w:jc w:val="center"/>
        <w:rPr>
          <w:rFonts w:ascii="Times New Roman" w:hAnsi="Times New Roman" w:cs="Mongolian Baiti"/>
          <w:kern w:val="0"/>
          <w:sz w:val="32"/>
          <w:szCs w:val="32"/>
        </w:rPr>
      </w:pPr>
    </w:p>
    <w:p w:rsidR="00DC4C6C" w:rsidRPr="00DC4C6C" w:rsidRDefault="00DC4C6C" w:rsidP="00DC4C6C">
      <w:pPr>
        <w:ind w:firstLineChars="200" w:firstLine="640"/>
        <w:jc w:val="center"/>
        <w:rPr>
          <w:rFonts w:ascii="Times New Roman" w:hAnsi="Times New Roman" w:cs="Mongolian Baiti"/>
          <w:kern w:val="0"/>
          <w:sz w:val="32"/>
          <w:szCs w:val="32"/>
        </w:rPr>
      </w:pPr>
    </w:p>
    <w:p w:rsidR="00DC4C6C" w:rsidRPr="00DC4C6C" w:rsidRDefault="00DC4C6C" w:rsidP="007D191D">
      <w:pPr>
        <w:ind w:right="840"/>
        <w:rPr>
          <w:rFonts w:ascii="黑体" w:eastAsia="黑体" w:hAnsi="黑体"/>
          <w:sz w:val="32"/>
          <w:szCs w:val="32"/>
        </w:rPr>
      </w:pPr>
    </w:p>
    <w:sectPr w:rsidR="00DC4C6C" w:rsidRPr="00DC4C6C" w:rsidSect="00CA7455">
      <w:pgSz w:w="11906" w:h="16838"/>
      <w:pgMar w:top="1440" w:right="1797" w:bottom="1440" w:left="1797" w:header="709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6DE" w:rsidRDefault="008806DE" w:rsidP="007D191D">
      <w:r>
        <w:separator/>
      </w:r>
    </w:p>
  </w:endnote>
  <w:endnote w:type="continuationSeparator" w:id="0">
    <w:p w:rsidR="008806DE" w:rsidRDefault="008806DE" w:rsidP="007D1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940798"/>
    </w:sdtPr>
    <w:sdtEndPr>
      <w:rPr>
        <w:b/>
      </w:rPr>
    </w:sdtEndPr>
    <w:sdtContent>
      <w:p w:rsidR="00DC4C6C" w:rsidRDefault="00DC4C6C">
        <w:pPr>
          <w:pStyle w:val="a4"/>
          <w:ind w:right="90" w:firstLine="360"/>
          <w:jc w:val="right"/>
        </w:pPr>
        <w:r>
          <w:rPr>
            <w:b/>
            <w:i/>
          </w:rPr>
          <w:fldChar w:fldCharType="begin"/>
        </w:r>
        <w:r>
          <w:rPr>
            <w:b/>
            <w:i/>
          </w:rPr>
          <w:instrText>PAGE   \* MERGEFORMAT</w:instrText>
        </w:r>
        <w:r>
          <w:rPr>
            <w:b/>
            <w:i/>
          </w:rPr>
          <w:fldChar w:fldCharType="separate"/>
        </w:r>
        <w:r w:rsidRPr="0063590F">
          <w:rPr>
            <w:b/>
            <w:i/>
            <w:noProof/>
            <w:lang w:val="zh-CN"/>
          </w:rPr>
          <w:t>8</w:t>
        </w:r>
        <w:r>
          <w:rPr>
            <w:b/>
            <w:i/>
          </w:rPr>
          <w:fldChar w:fldCharType="end"/>
        </w:r>
      </w:p>
    </w:sdtContent>
  </w:sdt>
  <w:p w:rsidR="00DC4C6C" w:rsidRDefault="00DC4C6C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7865607"/>
    </w:sdtPr>
    <w:sdtEndPr>
      <w:rPr>
        <w:i/>
        <w:color w:val="000000" w:themeColor="text1"/>
      </w:rPr>
    </w:sdtEndPr>
    <w:sdtContent>
      <w:p w:rsidR="00DC4C6C" w:rsidRDefault="00DC4C6C">
        <w:pPr>
          <w:pStyle w:val="a4"/>
          <w:ind w:right="90" w:firstLine="360"/>
          <w:jc w:val="right"/>
          <w:rPr>
            <w:i/>
            <w:color w:val="000000" w:themeColor="text1"/>
          </w:rPr>
        </w:pPr>
        <w:r>
          <w:rPr>
            <w:b/>
            <w:i/>
            <w:color w:val="000000" w:themeColor="text1"/>
          </w:rPr>
          <w:fldChar w:fldCharType="begin"/>
        </w:r>
        <w:r>
          <w:rPr>
            <w:b/>
            <w:i/>
            <w:color w:val="000000" w:themeColor="text1"/>
          </w:rPr>
          <w:instrText>PAGE   \* MERGEFORMAT</w:instrText>
        </w:r>
        <w:r>
          <w:rPr>
            <w:b/>
            <w:i/>
            <w:color w:val="000000" w:themeColor="text1"/>
          </w:rPr>
          <w:fldChar w:fldCharType="separate"/>
        </w:r>
        <w:r w:rsidR="00A5342C" w:rsidRPr="00A5342C">
          <w:rPr>
            <w:b/>
            <w:i/>
            <w:noProof/>
            <w:color w:val="000000" w:themeColor="text1"/>
            <w:lang w:val="zh-CN"/>
          </w:rPr>
          <w:t>2</w:t>
        </w:r>
        <w:r>
          <w:rPr>
            <w:b/>
            <w:i/>
            <w:color w:val="000000" w:themeColor="text1"/>
          </w:rPr>
          <w:fldChar w:fldCharType="end"/>
        </w:r>
      </w:p>
    </w:sdtContent>
  </w:sdt>
  <w:p w:rsidR="00DC4C6C" w:rsidRDefault="00DC4C6C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6C" w:rsidRDefault="00DC4C6C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57466"/>
    </w:sdtPr>
    <w:sdtEndPr>
      <w:rPr>
        <w:i/>
        <w:color w:val="000000"/>
      </w:rPr>
    </w:sdtEndPr>
    <w:sdtContent>
      <w:p w:rsidR="00DC4C6C" w:rsidRPr="00DC4C6C" w:rsidRDefault="00DC4C6C">
        <w:pPr>
          <w:pStyle w:val="a4"/>
          <w:ind w:right="90" w:firstLine="360"/>
          <w:jc w:val="right"/>
          <w:rPr>
            <w:i/>
            <w:color w:val="000000"/>
          </w:rPr>
        </w:pPr>
        <w:r w:rsidRPr="00DC4C6C">
          <w:rPr>
            <w:b/>
            <w:i/>
            <w:color w:val="000000"/>
          </w:rPr>
          <w:fldChar w:fldCharType="begin"/>
        </w:r>
        <w:r w:rsidRPr="00DC4C6C">
          <w:rPr>
            <w:b/>
            <w:i/>
            <w:color w:val="000000"/>
          </w:rPr>
          <w:instrText>PAGE   \* MERGEFORMAT</w:instrText>
        </w:r>
        <w:r w:rsidRPr="00DC4C6C">
          <w:rPr>
            <w:b/>
            <w:i/>
            <w:color w:val="000000"/>
          </w:rPr>
          <w:fldChar w:fldCharType="separate"/>
        </w:r>
        <w:r w:rsidR="00A5342C" w:rsidRPr="00A5342C">
          <w:rPr>
            <w:b/>
            <w:i/>
            <w:noProof/>
            <w:color w:val="000000"/>
            <w:lang w:val="zh-CN"/>
          </w:rPr>
          <w:t>19</w:t>
        </w:r>
        <w:r w:rsidRPr="00DC4C6C">
          <w:rPr>
            <w:b/>
            <w:i/>
            <w:color w:val="000000"/>
          </w:rPr>
          <w:fldChar w:fldCharType="end"/>
        </w:r>
      </w:p>
    </w:sdtContent>
  </w:sdt>
  <w:p w:rsidR="00DC4C6C" w:rsidRDefault="00DC4C6C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6DE" w:rsidRDefault="008806DE" w:rsidP="007D191D">
      <w:r>
        <w:separator/>
      </w:r>
    </w:p>
  </w:footnote>
  <w:footnote w:type="continuationSeparator" w:id="0">
    <w:p w:rsidR="008806DE" w:rsidRDefault="008806DE" w:rsidP="007D1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6C" w:rsidRDefault="00DC4C6C"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6C" w:rsidRDefault="00DC4C6C">
    <w:pPr>
      <w:ind w:left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6C" w:rsidRDefault="00DC4C6C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6F"/>
    <w:rsid w:val="001264B8"/>
    <w:rsid w:val="001A4CA9"/>
    <w:rsid w:val="003D096E"/>
    <w:rsid w:val="004F4F6F"/>
    <w:rsid w:val="005939CA"/>
    <w:rsid w:val="00622227"/>
    <w:rsid w:val="007835CC"/>
    <w:rsid w:val="007D191D"/>
    <w:rsid w:val="007D7C94"/>
    <w:rsid w:val="008806DE"/>
    <w:rsid w:val="00A5342C"/>
    <w:rsid w:val="00BD219B"/>
    <w:rsid w:val="00CA7455"/>
    <w:rsid w:val="00D00D76"/>
    <w:rsid w:val="00D930D4"/>
    <w:rsid w:val="00DC4C6C"/>
    <w:rsid w:val="00ED1FFA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9F5EFF-C76A-4134-8AF1-525C10D09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91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D191D"/>
    <w:pPr>
      <w:keepNext/>
      <w:keepLines/>
      <w:spacing w:before="260" w:after="260" w:line="300" w:lineRule="auto"/>
      <w:jc w:val="center"/>
      <w:outlineLvl w:val="0"/>
    </w:pPr>
    <w:rPr>
      <w:rFonts w:ascii="Times New Roman" w:eastAsia="黑体" w:hAnsi="Times New Roman" w:cstheme="minorBidi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191D"/>
    <w:pPr>
      <w:keepNext/>
      <w:keepLines/>
      <w:spacing w:before="260" w:after="260" w:line="300" w:lineRule="auto"/>
      <w:outlineLvl w:val="1"/>
    </w:pPr>
    <w:rPr>
      <w:rFonts w:ascii="Times New Roman" w:eastAsia="黑体" w:hAnsi="Times New Roman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191D"/>
    <w:pPr>
      <w:keepNext/>
      <w:keepLines/>
      <w:spacing w:before="260" w:after="260" w:line="300" w:lineRule="auto"/>
      <w:outlineLvl w:val="2"/>
    </w:pPr>
    <w:rPr>
      <w:rFonts w:ascii="Times New Roman" w:eastAsia="黑体" w:hAnsi="Times New Roman" w:cstheme="minorBidi"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191D"/>
    <w:pPr>
      <w:keepNext/>
      <w:keepLines/>
      <w:spacing w:before="260" w:after="260" w:line="300" w:lineRule="auto"/>
      <w:outlineLvl w:val="3"/>
    </w:pPr>
    <w:rPr>
      <w:rFonts w:ascii="Times New Roman" w:eastAsia="黑体" w:hAnsi="Times New Roman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7D19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7D19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191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D191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rsid w:val="007D191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qFormat/>
    <w:rsid w:val="007D191D"/>
    <w:rPr>
      <w:rFonts w:ascii="Times New Roman" w:eastAsia="黑体" w:hAnsi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D191D"/>
    <w:rPr>
      <w:rFonts w:ascii="Times New Roman" w:eastAsia="黑体" w:hAnsi="Times New Roman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D191D"/>
    <w:rPr>
      <w:rFonts w:ascii="Times New Roman" w:eastAsia="黑体" w:hAnsi="Times New Roman"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D191D"/>
    <w:rPr>
      <w:rFonts w:ascii="Times New Roman" w:eastAsia="黑体" w:hAnsi="Times New Roman" w:cstheme="majorBidi"/>
      <w:bCs/>
      <w:sz w:val="24"/>
      <w:szCs w:val="28"/>
    </w:rPr>
  </w:style>
  <w:style w:type="character" w:customStyle="1" w:styleId="Char1">
    <w:name w:val="文档结构图 Char"/>
    <w:basedOn w:val="a0"/>
    <w:link w:val="a6"/>
    <w:uiPriority w:val="99"/>
    <w:semiHidden/>
    <w:qFormat/>
    <w:rsid w:val="007D191D"/>
    <w:rPr>
      <w:rFonts w:ascii="宋体" w:eastAsia="宋体" w:hAnsi="Times New Roman"/>
      <w:sz w:val="18"/>
      <w:szCs w:val="18"/>
    </w:rPr>
  </w:style>
  <w:style w:type="paragraph" w:styleId="a6">
    <w:name w:val="Document Map"/>
    <w:basedOn w:val="a"/>
    <w:link w:val="Char1"/>
    <w:uiPriority w:val="99"/>
    <w:semiHidden/>
    <w:unhideWhenUsed/>
    <w:qFormat/>
    <w:rsid w:val="007D191D"/>
    <w:pPr>
      <w:ind w:firstLineChars="200" w:firstLine="200"/>
    </w:pPr>
    <w:rPr>
      <w:rFonts w:ascii="宋体" w:hAnsi="Times New Roman" w:cstheme="minorBidi"/>
      <w:sz w:val="18"/>
      <w:szCs w:val="18"/>
    </w:rPr>
  </w:style>
  <w:style w:type="character" w:customStyle="1" w:styleId="Char2">
    <w:name w:val="批注文字 Char"/>
    <w:basedOn w:val="a0"/>
    <w:link w:val="a7"/>
    <w:uiPriority w:val="99"/>
    <w:semiHidden/>
    <w:rsid w:val="007D191D"/>
    <w:rPr>
      <w:rFonts w:ascii="Times New Roman" w:eastAsia="宋体" w:hAnsi="Times New Roman"/>
      <w:sz w:val="24"/>
    </w:rPr>
  </w:style>
  <w:style w:type="paragraph" w:styleId="a7">
    <w:name w:val="annotation text"/>
    <w:basedOn w:val="a"/>
    <w:link w:val="Char2"/>
    <w:uiPriority w:val="99"/>
    <w:semiHidden/>
    <w:unhideWhenUsed/>
    <w:qFormat/>
    <w:rsid w:val="007D191D"/>
    <w:pPr>
      <w:ind w:firstLineChars="200" w:firstLine="200"/>
      <w:jc w:val="left"/>
    </w:pPr>
    <w:rPr>
      <w:rFonts w:ascii="Times New Roman" w:hAnsi="Times New Roman" w:cstheme="minorBidi"/>
      <w:sz w:val="24"/>
      <w:szCs w:val="22"/>
    </w:rPr>
  </w:style>
  <w:style w:type="character" w:customStyle="1" w:styleId="Char3">
    <w:name w:val="纯文本 Char"/>
    <w:basedOn w:val="a0"/>
    <w:link w:val="a8"/>
    <w:qFormat/>
    <w:rsid w:val="007D191D"/>
    <w:rPr>
      <w:rFonts w:ascii="宋体" w:eastAsia="宋体" w:hAnsi="Courier New" w:cs="Courier New"/>
      <w:sz w:val="24"/>
      <w:szCs w:val="21"/>
    </w:rPr>
  </w:style>
  <w:style w:type="paragraph" w:styleId="a8">
    <w:name w:val="Plain Text"/>
    <w:basedOn w:val="a"/>
    <w:link w:val="Char3"/>
    <w:qFormat/>
    <w:rsid w:val="007D191D"/>
    <w:pPr>
      <w:snapToGrid w:val="0"/>
      <w:spacing w:line="310" w:lineRule="auto"/>
    </w:pPr>
    <w:rPr>
      <w:rFonts w:ascii="宋体" w:hAnsi="Courier New" w:cs="Courier New"/>
      <w:sz w:val="24"/>
      <w:szCs w:val="21"/>
    </w:rPr>
  </w:style>
  <w:style w:type="character" w:customStyle="1" w:styleId="Char4">
    <w:name w:val="日期 Char"/>
    <w:basedOn w:val="a0"/>
    <w:link w:val="a9"/>
    <w:uiPriority w:val="99"/>
    <w:semiHidden/>
    <w:qFormat/>
    <w:rsid w:val="007D191D"/>
    <w:rPr>
      <w:rFonts w:ascii="Times New Roman" w:eastAsia="宋体" w:hAnsi="Times New Roman"/>
      <w:sz w:val="24"/>
    </w:rPr>
  </w:style>
  <w:style w:type="paragraph" w:styleId="a9">
    <w:name w:val="Date"/>
    <w:basedOn w:val="a"/>
    <w:next w:val="a"/>
    <w:link w:val="Char4"/>
    <w:uiPriority w:val="99"/>
    <w:semiHidden/>
    <w:unhideWhenUsed/>
    <w:qFormat/>
    <w:rsid w:val="007D191D"/>
    <w:pPr>
      <w:ind w:leftChars="2500" w:left="100" w:firstLineChars="200" w:firstLine="200"/>
    </w:pPr>
    <w:rPr>
      <w:rFonts w:ascii="Times New Roman" w:hAnsi="Times New Roman" w:cstheme="minorBidi"/>
      <w:sz w:val="24"/>
      <w:szCs w:val="22"/>
    </w:rPr>
  </w:style>
  <w:style w:type="character" w:customStyle="1" w:styleId="Char5">
    <w:name w:val="批注框文本 Char"/>
    <w:basedOn w:val="a0"/>
    <w:link w:val="aa"/>
    <w:uiPriority w:val="99"/>
    <w:semiHidden/>
    <w:qFormat/>
    <w:rsid w:val="007D191D"/>
    <w:rPr>
      <w:rFonts w:ascii="Times New Roman" w:eastAsia="宋体" w:hAnsi="Times New Roman"/>
      <w:sz w:val="18"/>
      <w:szCs w:val="18"/>
    </w:rPr>
  </w:style>
  <w:style w:type="paragraph" w:styleId="aa">
    <w:name w:val="Balloon Text"/>
    <w:basedOn w:val="a"/>
    <w:link w:val="Char5"/>
    <w:uiPriority w:val="99"/>
    <w:semiHidden/>
    <w:unhideWhenUsed/>
    <w:qFormat/>
    <w:rsid w:val="007D191D"/>
    <w:pPr>
      <w:ind w:firstLineChars="200" w:firstLine="200"/>
    </w:pPr>
    <w:rPr>
      <w:rFonts w:ascii="Times New Roman" w:hAnsi="Times New Roman" w:cstheme="minorBidi"/>
      <w:sz w:val="18"/>
      <w:szCs w:val="18"/>
    </w:rPr>
  </w:style>
  <w:style w:type="paragraph" w:styleId="ab">
    <w:name w:val="No Spacing"/>
    <w:link w:val="Char6"/>
    <w:uiPriority w:val="1"/>
    <w:qFormat/>
    <w:rsid w:val="007D191D"/>
    <w:rPr>
      <w:kern w:val="0"/>
      <w:sz w:val="22"/>
    </w:rPr>
  </w:style>
  <w:style w:type="character" w:customStyle="1" w:styleId="Char6">
    <w:name w:val="无间隔 Char"/>
    <w:basedOn w:val="a0"/>
    <w:link w:val="ab"/>
    <w:uiPriority w:val="1"/>
    <w:qFormat/>
    <w:rsid w:val="007D191D"/>
    <w:rPr>
      <w:kern w:val="0"/>
      <w:sz w:val="22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7D191D"/>
    <w:pPr>
      <w:tabs>
        <w:tab w:val="center" w:pos="4160"/>
        <w:tab w:val="right" w:pos="8300"/>
      </w:tabs>
      <w:ind w:firstLineChars="200" w:firstLine="420"/>
    </w:pPr>
    <w:rPr>
      <w:rFonts w:ascii="Arial" w:eastAsiaTheme="minorEastAsia" w:hAnsi="Arial" w:cstheme="minorBidi"/>
      <w:szCs w:val="22"/>
    </w:rPr>
  </w:style>
  <w:style w:type="character" w:customStyle="1" w:styleId="MTDisplayEquationChar">
    <w:name w:val="MTDisplayEquation Char"/>
    <w:basedOn w:val="a0"/>
    <w:link w:val="MTDisplayEquation"/>
    <w:qFormat/>
    <w:rsid w:val="007D191D"/>
    <w:rPr>
      <w:rFonts w:ascii="Arial" w:hAnsi="Arial"/>
    </w:rPr>
  </w:style>
  <w:style w:type="paragraph" w:customStyle="1" w:styleId="ac">
    <w:name w:val="表头"/>
    <w:basedOn w:val="a"/>
    <w:link w:val="ad"/>
    <w:qFormat/>
    <w:rsid w:val="007D191D"/>
    <w:pPr>
      <w:jc w:val="center"/>
    </w:pPr>
    <w:rPr>
      <w:rFonts w:ascii="Times New Roman" w:hAnsi="Times New Roman" w:cs="Arial"/>
      <w:b/>
      <w:szCs w:val="22"/>
    </w:rPr>
  </w:style>
  <w:style w:type="character" w:customStyle="1" w:styleId="ad">
    <w:name w:val="表头 字符"/>
    <w:basedOn w:val="a0"/>
    <w:link w:val="ac"/>
    <w:qFormat/>
    <w:rsid w:val="007D191D"/>
    <w:rPr>
      <w:rFonts w:ascii="Times New Roman" w:eastAsia="宋体" w:hAnsi="Times New Roman" w:cs="Arial"/>
      <w:b/>
    </w:rPr>
  </w:style>
  <w:style w:type="paragraph" w:customStyle="1" w:styleId="ae">
    <w:name w:val="图例"/>
    <w:basedOn w:val="a"/>
    <w:link w:val="af"/>
    <w:qFormat/>
    <w:rsid w:val="007D191D"/>
    <w:pPr>
      <w:ind w:firstLineChars="200" w:firstLine="422"/>
      <w:jc w:val="center"/>
    </w:pPr>
    <w:rPr>
      <w:rFonts w:ascii="Times New Roman" w:hAnsi="Times New Roman" w:cstheme="minorBidi"/>
      <w:b/>
      <w:szCs w:val="21"/>
    </w:rPr>
  </w:style>
  <w:style w:type="character" w:customStyle="1" w:styleId="af">
    <w:name w:val="图例 字符"/>
    <w:basedOn w:val="a0"/>
    <w:link w:val="ae"/>
    <w:qFormat/>
    <w:rsid w:val="007D191D"/>
    <w:rPr>
      <w:rFonts w:ascii="Times New Roman" w:eastAsia="宋体" w:hAnsi="Times New Roman"/>
      <w:b/>
      <w:szCs w:val="21"/>
    </w:rPr>
  </w:style>
  <w:style w:type="paragraph" w:customStyle="1" w:styleId="af0">
    <w:name w:val="二级标题"/>
    <w:basedOn w:val="2"/>
    <w:link w:val="Char7"/>
    <w:qFormat/>
    <w:rsid w:val="007D191D"/>
    <w:pPr>
      <w:adjustRightInd w:val="0"/>
      <w:snapToGrid w:val="0"/>
      <w:spacing w:beforeLines="100" w:before="240" w:afterLines="100" w:after="240" w:line="360" w:lineRule="auto"/>
      <w:jc w:val="center"/>
    </w:pPr>
    <w:rPr>
      <w:rFonts w:cs="Times New Roman"/>
      <w:kern w:val="0"/>
      <w:sz w:val="28"/>
      <w:szCs w:val="24"/>
      <w:lang w:val="en-GB"/>
    </w:rPr>
  </w:style>
  <w:style w:type="character" w:customStyle="1" w:styleId="Char7">
    <w:name w:val="二级标题 Char"/>
    <w:basedOn w:val="2Char"/>
    <w:link w:val="af0"/>
    <w:qFormat/>
    <w:rsid w:val="007D191D"/>
    <w:rPr>
      <w:rFonts w:ascii="Times New Roman" w:eastAsia="黑体" w:hAnsi="Times New Roman" w:cs="Times New Roman"/>
      <w:bCs/>
      <w:kern w:val="0"/>
      <w:sz w:val="28"/>
      <w:szCs w:val="24"/>
      <w:lang w:val="en-GB"/>
    </w:rPr>
  </w:style>
  <w:style w:type="numbering" w:customStyle="1" w:styleId="10">
    <w:name w:val="无列表1"/>
    <w:next w:val="a2"/>
    <w:uiPriority w:val="99"/>
    <w:semiHidden/>
    <w:unhideWhenUsed/>
    <w:rsid w:val="00DC4C6C"/>
  </w:style>
  <w:style w:type="paragraph" w:styleId="30">
    <w:name w:val="toc 3"/>
    <w:basedOn w:val="a"/>
    <w:next w:val="a"/>
    <w:uiPriority w:val="39"/>
    <w:unhideWhenUsed/>
    <w:qFormat/>
    <w:rsid w:val="00DC4C6C"/>
    <w:pPr>
      <w:ind w:leftChars="400" w:left="840" w:firstLineChars="200" w:firstLine="200"/>
    </w:pPr>
    <w:rPr>
      <w:rFonts w:ascii="Times New Roman" w:hAnsi="Times New Roman" w:cs="Mongolian Baiti"/>
      <w:sz w:val="24"/>
      <w:szCs w:val="22"/>
    </w:rPr>
  </w:style>
  <w:style w:type="paragraph" w:styleId="11">
    <w:name w:val="toc 1"/>
    <w:basedOn w:val="a"/>
    <w:next w:val="a"/>
    <w:uiPriority w:val="39"/>
    <w:qFormat/>
    <w:rsid w:val="00DC4C6C"/>
    <w:pPr>
      <w:snapToGrid w:val="0"/>
      <w:spacing w:line="360" w:lineRule="auto"/>
    </w:pPr>
    <w:rPr>
      <w:rFonts w:ascii="Times New Roman" w:hAnsi="Times New Roman"/>
      <w:b/>
      <w:kern w:val="0"/>
      <w:sz w:val="24"/>
      <w:szCs w:val="21"/>
    </w:rPr>
  </w:style>
  <w:style w:type="paragraph" w:styleId="20">
    <w:name w:val="toc 2"/>
    <w:basedOn w:val="a"/>
    <w:next w:val="a"/>
    <w:uiPriority w:val="39"/>
    <w:unhideWhenUsed/>
    <w:qFormat/>
    <w:rsid w:val="00DC4C6C"/>
    <w:pPr>
      <w:ind w:firstLineChars="100" w:firstLine="100"/>
    </w:pPr>
    <w:rPr>
      <w:rFonts w:ascii="Times New Roman" w:hAnsi="Times New Roman" w:cs="Mongolian Baiti"/>
      <w:sz w:val="24"/>
      <w:szCs w:val="22"/>
    </w:rPr>
  </w:style>
  <w:style w:type="table" w:customStyle="1" w:styleId="12">
    <w:name w:val="网格型1"/>
    <w:basedOn w:val="a1"/>
    <w:next w:val="af1"/>
    <w:uiPriority w:val="59"/>
    <w:qFormat/>
    <w:rsid w:val="00DC4C6C"/>
    <w:rPr>
      <w:kern w:val="0"/>
      <w:sz w:val="20"/>
      <w:szCs w:val="20"/>
      <w:lang w:bidi="mn-Mong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page number"/>
    <w:basedOn w:val="a0"/>
    <w:qFormat/>
    <w:rsid w:val="00DC4C6C"/>
  </w:style>
  <w:style w:type="character" w:customStyle="1" w:styleId="13">
    <w:name w:val="访问过的超链接1"/>
    <w:basedOn w:val="a0"/>
    <w:uiPriority w:val="99"/>
    <w:semiHidden/>
    <w:unhideWhenUsed/>
    <w:qFormat/>
    <w:rsid w:val="00DC4C6C"/>
    <w:rPr>
      <w:color w:val="800080"/>
      <w:u w:val="single"/>
    </w:rPr>
  </w:style>
  <w:style w:type="character" w:customStyle="1" w:styleId="14">
    <w:name w:val="超链接1"/>
    <w:basedOn w:val="a0"/>
    <w:uiPriority w:val="99"/>
    <w:unhideWhenUsed/>
    <w:qFormat/>
    <w:rsid w:val="00DC4C6C"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sid w:val="00DC4C6C"/>
    <w:rPr>
      <w:sz w:val="21"/>
      <w:szCs w:val="21"/>
    </w:rPr>
  </w:style>
  <w:style w:type="character" w:customStyle="1" w:styleId="MTDisplayEquation0">
    <w:name w:val="MTDisplayEquation 字符"/>
    <w:basedOn w:val="a0"/>
    <w:qFormat/>
    <w:rsid w:val="00DC4C6C"/>
  </w:style>
  <w:style w:type="table" w:customStyle="1" w:styleId="110">
    <w:name w:val="网格型11"/>
    <w:basedOn w:val="a1"/>
    <w:uiPriority w:val="59"/>
    <w:qFormat/>
    <w:rsid w:val="00DC4C6C"/>
    <w:rPr>
      <w:rFonts w:ascii="Calibri" w:eastAsia="宋体" w:hAnsi="Calibri" w:cs="Times New Roman"/>
      <w:kern w:val="0"/>
      <w:sz w:val="20"/>
      <w:szCs w:val="20"/>
      <w:lang w:bidi="mn-Mong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List Paragraph"/>
    <w:basedOn w:val="a"/>
    <w:uiPriority w:val="34"/>
    <w:qFormat/>
    <w:rsid w:val="00DC4C6C"/>
    <w:pPr>
      <w:ind w:firstLineChars="200" w:firstLine="420"/>
    </w:pPr>
    <w:rPr>
      <w:rFonts w:ascii="Times New Roman" w:hAnsi="Times New Roman" w:cs="Mongolian Baiti"/>
      <w:sz w:val="24"/>
      <w:szCs w:val="22"/>
    </w:rPr>
  </w:style>
  <w:style w:type="paragraph" w:customStyle="1" w:styleId="CharCharCharCharCharCharChar">
    <w:name w:val="Char Char Char Char Char Char Char"/>
    <w:basedOn w:val="a"/>
    <w:qFormat/>
    <w:rsid w:val="00DC4C6C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customStyle="1" w:styleId="21">
    <w:name w:val="网格型2"/>
    <w:basedOn w:val="a1"/>
    <w:qFormat/>
    <w:rsid w:val="00DC4C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bidi="mn-Mon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qFormat/>
    <w:rsid w:val="00DC4C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bidi="mn-Mon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qFormat/>
    <w:rsid w:val="00DC4C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bidi="mn-Mon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qFormat/>
    <w:rsid w:val="00DC4C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bidi="mn-Mon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0"/>
    <w:uiPriority w:val="99"/>
    <w:semiHidden/>
    <w:qFormat/>
    <w:rsid w:val="00DC4C6C"/>
    <w:rPr>
      <w:color w:val="808080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DC4C6C"/>
    <w:pPr>
      <w:widowControl/>
      <w:spacing w:before="480" w:after="0" w:line="276" w:lineRule="auto"/>
      <w:jc w:val="left"/>
      <w:outlineLvl w:val="9"/>
    </w:pPr>
    <w:rPr>
      <w:rFonts w:ascii="Cambria" w:eastAsia="宋体" w:hAnsi="Cambria" w:cs="Mongolian Baiti"/>
      <w:b/>
      <w:color w:val="365F91"/>
      <w:kern w:val="0"/>
      <w:sz w:val="28"/>
      <w:szCs w:val="28"/>
    </w:rPr>
  </w:style>
  <w:style w:type="table" w:customStyle="1" w:styleId="6">
    <w:name w:val="网格型6"/>
    <w:basedOn w:val="a1"/>
    <w:uiPriority w:val="39"/>
    <w:qFormat/>
    <w:rsid w:val="00DC4C6C"/>
    <w:pPr>
      <w:jc w:val="both"/>
    </w:pPr>
    <w:rPr>
      <w:kern w:val="0"/>
      <w:sz w:val="20"/>
      <w:szCs w:val="20"/>
      <w:lang w:bidi="mn-Mon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样式黑体1"/>
    <w:basedOn w:val="a"/>
    <w:qFormat/>
    <w:rsid w:val="00DC4C6C"/>
    <w:pPr>
      <w:ind w:firstLineChars="200" w:firstLine="200"/>
    </w:pPr>
    <w:rPr>
      <w:rFonts w:ascii="宋体" w:hAnsi="宋体" w:cs="Mongolian Baiti"/>
      <w:b/>
      <w:bCs/>
      <w:sz w:val="30"/>
      <w:szCs w:val="30"/>
    </w:rPr>
  </w:style>
  <w:style w:type="paragraph" w:customStyle="1" w:styleId="16">
    <w:name w:val="修订1"/>
    <w:hidden/>
    <w:uiPriority w:val="99"/>
    <w:semiHidden/>
    <w:rsid w:val="00DC4C6C"/>
    <w:rPr>
      <w:rFonts w:ascii="Times New Roman" w:eastAsia="宋体" w:hAnsi="Times New Roman"/>
      <w:sz w:val="24"/>
    </w:rPr>
  </w:style>
  <w:style w:type="table" w:styleId="af1">
    <w:name w:val="Table Grid"/>
    <w:basedOn w:val="a1"/>
    <w:uiPriority w:val="59"/>
    <w:qFormat/>
    <w:rsid w:val="00DC4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semiHidden/>
    <w:unhideWhenUsed/>
    <w:qFormat/>
    <w:rsid w:val="00DC4C6C"/>
    <w:rPr>
      <w:color w:val="954F72" w:themeColor="followedHyperlink"/>
      <w:u w:val="single"/>
    </w:rPr>
  </w:style>
  <w:style w:type="character" w:styleId="af7">
    <w:name w:val="Hyperlink"/>
    <w:basedOn w:val="a0"/>
    <w:uiPriority w:val="99"/>
    <w:semiHidden/>
    <w:unhideWhenUsed/>
    <w:qFormat/>
    <w:rsid w:val="00DC4C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83BF3-397F-4B62-B6B2-9D5B7934C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3042</Words>
  <Characters>17342</Characters>
  <Application>Microsoft Office Word</Application>
  <DocSecurity>0</DocSecurity>
  <Lines>144</Lines>
  <Paragraphs>40</Paragraphs>
  <ScaleCrop>false</ScaleCrop>
  <Company>Microsoft</Company>
  <LinksUpToDate>false</LinksUpToDate>
  <CharactersWithSpaces>20344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建筑业管理处11/蓝丽玉</dc:creator>
  <cp:keywords/>
  <dc:description/>
  <cp:lastModifiedBy>信息中心/信息管理部02/梁海珊</cp:lastModifiedBy>
  <cp:revision>1</cp:revision>
  <dcterms:created xsi:type="dcterms:W3CDTF">2021-10-18T02:03:00Z</dcterms:created>
  <dcterms:modified xsi:type="dcterms:W3CDTF">2021-10-18T02:03:00Z</dcterms:modified>
</cp:coreProperties>
</file>