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388" w:rsidRDefault="005E5D12">
      <w:pPr>
        <w:ind w:firstLineChars="0" w:firstLine="0"/>
        <w:jc w:val="center"/>
        <w:rPr>
          <w:rFonts w:ascii="方正小标宋简体" w:eastAsia="方正小标宋简体"/>
          <w:sz w:val="44"/>
          <w:szCs w:val="44"/>
        </w:rPr>
      </w:pPr>
      <w:bookmarkStart w:id="0" w:name="_Toc96076048"/>
      <w:bookmarkStart w:id="1" w:name="_Toc81549465"/>
      <w:bookmarkStart w:id="2" w:name="_Toc80259107"/>
      <w:bookmarkStart w:id="3" w:name="_Toc98528544"/>
      <w:r>
        <w:rPr>
          <w:rFonts w:ascii="方正小标宋简体" w:eastAsia="方正小标宋简体" w:hAnsi="方正小标宋简体" w:cs="方正小标宋简体" w:hint="eastAsia"/>
          <w:sz w:val="44"/>
          <w:szCs w:val="44"/>
        </w:rPr>
        <w:t>广州市老旧小区既有建筑功能转变实施办法</w:t>
      </w:r>
      <w:bookmarkEnd w:id="0"/>
      <w:bookmarkEnd w:id="1"/>
      <w:bookmarkEnd w:id="2"/>
      <w:bookmarkEnd w:id="3"/>
      <w:r>
        <w:rPr>
          <w:rFonts w:ascii="方正小标宋简体" w:eastAsia="方正小标宋简体" w:hint="eastAsia"/>
          <w:sz w:val="44"/>
          <w:szCs w:val="44"/>
        </w:rPr>
        <w:t>（公众征求意</w:t>
      </w:r>
      <w:bookmarkStart w:id="4" w:name="_GoBack"/>
      <w:bookmarkEnd w:id="4"/>
      <w:r>
        <w:rPr>
          <w:rFonts w:ascii="方正小标宋简体" w:eastAsia="方正小标宋简体" w:hint="eastAsia"/>
          <w:sz w:val="44"/>
          <w:szCs w:val="44"/>
        </w:rPr>
        <w:t>见稿）</w:t>
      </w:r>
    </w:p>
    <w:p w:rsidR="00B74388" w:rsidRDefault="00B74388">
      <w:pPr>
        <w:pStyle w:val="20"/>
        <w:spacing w:after="0"/>
        <w:ind w:leftChars="0" w:left="0" w:firstLineChars="0" w:firstLine="0"/>
        <w:jc w:val="center"/>
        <w:rPr>
          <w:rFonts w:ascii="方正小标宋简体" w:eastAsia="方正小标宋简体"/>
          <w:sz w:val="36"/>
        </w:rPr>
      </w:pPr>
    </w:p>
    <w:p w:rsidR="00B74388" w:rsidRDefault="005E5D12">
      <w:pPr>
        <w:pStyle w:val="2"/>
        <w:numPr>
          <w:ilvl w:val="0"/>
          <w:numId w:val="3"/>
        </w:numPr>
        <w:spacing w:before="0" w:afterLines="0" w:after="0" w:line="560" w:lineRule="exact"/>
        <w:ind w:left="0" w:firstLine="0"/>
        <w:rPr>
          <w:rFonts w:ascii="黑体" w:hAnsi="黑体"/>
          <w:b w:val="0"/>
        </w:rPr>
      </w:pPr>
      <w:bookmarkStart w:id="5" w:name="_Toc80259108"/>
      <w:bookmarkStart w:id="6" w:name="_Toc81549466"/>
      <w:bookmarkStart w:id="7" w:name="_Toc98528545"/>
      <w:bookmarkStart w:id="8" w:name="_Toc96076049"/>
      <w:r>
        <w:rPr>
          <w:rFonts w:ascii="黑体" w:hAnsi="黑体" w:hint="eastAsia"/>
          <w:b w:val="0"/>
        </w:rPr>
        <w:t>制定目的与依据</w:t>
      </w:r>
      <w:bookmarkEnd w:id="5"/>
      <w:bookmarkEnd w:id="6"/>
      <w:bookmarkEnd w:id="7"/>
      <w:bookmarkEnd w:id="8"/>
    </w:p>
    <w:p w:rsidR="00B74388" w:rsidRDefault="005E5D12">
      <w:pPr>
        <w:ind w:firstLine="640"/>
        <w:rPr>
          <w:rFonts w:ascii="仿宋_GB2312" w:hAnsi="仿宋"/>
        </w:rPr>
      </w:pPr>
      <w:r>
        <w:rPr>
          <w:rFonts w:hint="eastAsia"/>
        </w:rPr>
        <w:t>为贯彻落实《国务院办公厅关于全面推进城镇老旧小区改造工作的指导意见》（国办发〔</w:t>
      </w:r>
      <w:r>
        <w:rPr>
          <w:rFonts w:hint="eastAsia"/>
        </w:rPr>
        <w:t>2020</w:t>
      </w:r>
      <w:r>
        <w:rPr>
          <w:rFonts w:hint="eastAsia"/>
        </w:rPr>
        <w:t>〕</w:t>
      </w:r>
      <w:r>
        <w:rPr>
          <w:rFonts w:hint="eastAsia"/>
        </w:rPr>
        <w:t>23</w:t>
      </w:r>
      <w:r>
        <w:rPr>
          <w:rFonts w:hint="eastAsia"/>
        </w:rPr>
        <w:t>号）、《住房和城乡建设部等部门关于开展城市居住社区建设补短板行动的意见》（建科规〔</w:t>
      </w:r>
      <w:r>
        <w:rPr>
          <w:rFonts w:hint="eastAsia"/>
        </w:rPr>
        <w:t>2020</w:t>
      </w:r>
      <w:r>
        <w:rPr>
          <w:rFonts w:hint="eastAsia"/>
        </w:rPr>
        <w:t>〕</w:t>
      </w:r>
      <w:r>
        <w:rPr>
          <w:rFonts w:hint="eastAsia"/>
        </w:rPr>
        <w:t>7</w:t>
      </w:r>
      <w:r>
        <w:rPr>
          <w:rFonts w:hint="eastAsia"/>
        </w:rPr>
        <w:t>号）、《广东省人民政府办公厅关于全面推进城镇老旧小区改造工作的实施意见》（粤府办〔</w:t>
      </w:r>
      <w:r>
        <w:rPr>
          <w:rFonts w:hint="eastAsia"/>
        </w:rPr>
        <w:t>2021</w:t>
      </w:r>
      <w:r>
        <w:rPr>
          <w:rFonts w:hint="eastAsia"/>
        </w:rPr>
        <w:t>〕</w:t>
      </w:r>
      <w:r>
        <w:rPr>
          <w:rFonts w:hint="eastAsia"/>
        </w:rPr>
        <w:t>3</w:t>
      </w:r>
      <w:r>
        <w:rPr>
          <w:rFonts w:hint="eastAsia"/>
        </w:rPr>
        <w:t>号）、《广东省住房和城乡建设厅</w:t>
      </w:r>
      <w:r>
        <w:rPr>
          <w:rFonts w:hint="eastAsia"/>
        </w:rPr>
        <w:t xml:space="preserve"> </w:t>
      </w:r>
      <w:r>
        <w:rPr>
          <w:rFonts w:hint="eastAsia"/>
        </w:rPr>
        <w:t>广东省发展和改革委员会</w:t>
      </w:r>
      <w:r>
        <w:rPr>
          <w:rFonts w:hint="eastAsia"/>
        </w:rPr>
        <w:t xml:space="preserve"> </w:t>
      </w:r>
      <w:r>
        <w:rPr>
          <w:rFonts w:hint="eastAsia"/>
        </w:rPr>
        <w:t>广东省财政厅关于进一步促进城镇老旧小区改造规范化提升质量和效果的通知》（粤建节函〔</w:t>
      </w:r>
      <w:r>
        <w:rPr>
          <w:rFonts w:hint="eastAsia"/>
        </w:rPr>
        <w:t>2022</w:t>
      </w:r>
      <w:r>
        <w:rPr>
          <w:rFonts w:hint="eastAsia"/>
        </w:rPr>
        <w:t>〕</w:t>
      </w:r>
      <w:r>
        <w:rPr>
          <w:rFonts w:hint="eastAsia"/>
        </w:rPr>
        <w:t>55</w:t>
      </w:r>
      <w:r>
        <w:rPr>
          <w:rFonts w:hint="eastAsia"/>
        </w:rPr>
        <w:t>号）等工作要求，结合《广州市老旧小区改造工作实施方案》（穗府办函〔</w:t>
      </w:r>
      <w:r>
        <w:rPr>
          <w:rFonts w:hint="eastAsia"/>
        </w:rPr>
        <w:t>2021</w:t>
      </w:r>
      <w:r>
        <w:rPr>
          <w:rFonts w:hint="eastAsia"/>
        </w:rPr>
        <w:t>〕</w:t>
      </w:r>
      <w:r>
        <w:rPr>
          <w:rFonts w:hint="eastAsia"/>
        </w:rPr>
        <w:t>33</w:t>
      </w:r>
      <w:r>
        <w:rPr>
          <w:rFonts w:hint="eastAsia"/>
        </w:rPr>
        <w:t>号）等文件精神，为促进我市城镇老旧小区改造及可持续发展，完善公共服务、</w:t>
      </w:r>
      <w:r>
        <w:rPr>
          <w:rFonts w:ascii="仿宋_GB2312" w:hAnsi="仿宋" w:hint="eastAsia"/>
        </w:rPr>
        <w:t>提升社区活力、</w:t>
      </w:r>
      <w:r>
        <w:rPr>
          <w:rFonts w:hint="eastAsia"/>
        </w:rPr>
        <w:t>加强文化功能、激发市场活力、促进创新创业</w:t>
      </w:r>
      <w:r>
        <w:rPr>
          <w:rFonts w:ascii="仿宋_GB2312" w:hAnsi="仿宋" w:hint="eastAsia"/>
        </w:rPr>
        <w:t>，结合本市实际，制定本办法。</w:t>
      </w:r>
    </w:p>
    <w:p w:rsidR="00B74388" w:rsidRDefault="005E5D12">
      <w:pPr>
        <w:pStyle w:val="2"/>
        <w:numPr>
          <w:ilvl w:val="0"/>
          <w:numId w:val="3"/>
        </w:numPr>
        <w:spacing w:before="0" w:afterLines="0" w:after="0" w:line="560" w:lineRule="exact"/>
        <w:ind w:left="0" w:firstLine="0"/>
        <w:rPr>
          <w:rFonts w:ascii="黑体" w:hAnsi="黑体"/>
          <w:b w:val="0"/>
        </w:rPr>
      </w:pPr>
      <w:bookmarkStart w:id="9" w:name="_Toc81549467"/>
      <w:bookmarkStart w:id="10" w:name="_Toc98528546"/>
      <w:bookmarkStart w:id="11" w:name="_Toc96076050"/>
      <w:bookmarkStart w:id="12" w:name="_Toc80259109"/>
      <w:r>
        <w:rPr>
          <w:rFonts w:ascii="黑体" w:hAnsi="黑体" w:hint="eastAsia"/>
          <w:b w:val="0"/>
        </w:rPr>
        <w:t>适用范围</w:t>
      </w:r>
      <w:bookmarkEnd w:id="9"/>
      <w:bookmarkEnd w:id="10"/>
      <w:bookmarkEnd w:id="11"/>
      <w:bookmarkEnd w:id="12"/>
    </w:p>
    <w:p w:rsidR="00B74388" w:rsidRDefault="005E5D12">
      <w:pPr>
        <w:widowControl/>
        <w:shd w:val="clear" w:color="auto" w:fill="FFFFFF"/>
        <w:ind w:firstLine="640"/>
        <w:rPr>
          <w:rFonts w:ascii="仿宋_GB2312" w:hAnsi="仿宋"/>
        </w:rPr>
      </w:pPr>
      <w:r>
        <w:rPr>
          <w:rFonts w:ascii="仿宋_GB2312" w:hAnsi="仿宋" w:hint="eastAsia"/>
        </w:rPr>
        <w:t>纳入年度改造</w:t>
      </w:r>
      <w:r>
        <w:rPr>
          <w:rFonts w:ascii="仿宋_GB2312" w:hAnsi="仿宋"/>
        </w:rPr>
        <w:t>计划</w:t>
      </w:r>
      <w:r>
        <w:rPr>
          <w:rFonts w:ascii="仿宋_GB2312" w:hAnsi="仿宋" w:hint="eastAsia"/>
        </w:rPr>
        <w:t>的城镇</w:t>
      </w:r>
      <w:r>
        <w:rPr>
          <w:rFonts w:ascii="仿宋_GB2312" w:hAnsi="仿宋"/>
        </w:rPr>
        <w:t>老旧小区</w:t>
      </w:r>
      <w:r>
        <w:rPr>
          <w:rFonts w:ascii="仿宋_GB2312" w:hAnsi="仿宋" w:hint="eastAsia"/>
        </w:rPr>
        <w:t>及周边，</w:t>
      </w:r>
      <w:r>
        <w:rPr>
          <w:rFonts w:hint="eastAsia"/>
          <w:lang w:val="zh-CN"/>
        </w:rPr>
        <w:t>不改变建筑结构（包括但不限于结构的材料、形式、楼层、数量、外立面等）、不增加建筑面积、不办理产权登记的</w:t>
      </w:r>
      <w:r>
        <w:rPr>
          <w:rFonts w:ascii="仿宋_GB2312" w:hAnsi="仿宋" w:hint="eastAsia"/>
        </w:rPr>
        <w:t>既有建筑功能转变，适用本办法。</w:t>
      </w:r>
    </w:p>
    <w:p w:rsidR="00B74388" w:rsidRDefault="005E5D12">
      <w:pPr>
        <w:widowControl/>
        <w:shd w:val="clear" w:color="auto" w:fill="FFFFFF"/>
        <w:ind w:firstLine="640"/>
        <w:rPr>
          <w:rFonts w:ascii="仿宋_GB2312" w:hAnsi="仿宋"/>
        </w:rPr>
      </w:pPr>
      <w:r>
        <w:rPr>
          <w:rFonts w:ascii="仿宋_GB2312" w:hAnsi="仿宋" w:hint="eastAsia"/>
        </w:rPr>
        <w:t>本办法所称</w:t>
      </w:r>
      <w:r>
        <w:rPr>
          <w:rFonts w:hint="eastAsia"/>
        </w:rPr>
        <w:t>城镇老旧小区是指城市或县城（城关镇）建成年代较早、失养失修失管、市政配套设施不完善、社区服</w:t>
      </w:r>
      <w:r>
        <w:rPr>
          <w:rFonts w:hint="eastAsia"/>
        </w:rPr>
        <w:lastRenderedPageBreak/>
        <w:t>务设施不健全、居民改造意愿强烈的住宅小区（含单栋住宅楼）；</w:t>
      </w:r>
      <w:r>
        <w:rPr>
          <w:rFonts w:ascii="仿宋_GB2312" w:hAnsi="仿宋" w:hint="eastAsia"/>
        </w:rPr>
        <w:t>既有建筑是指在城镇用地上具有合法权属证明或合法报批手续、可利用的</w:t>
      </w:r>
      <w:r>
        <w:rPr>
          <w:rFonts w:ascii="仿宋_GB2312" w:hAnsi="仿宋"/>
        </w:rPr>
        <w:t>地上</w:t>
      </w:r>
      <w:r>
        <w:rPr>
          <w:rFonts w:ascii="仿宋_GB2312" w:hAnsi="仿宋" w:hint="eastAsia"/>
        </w:rPr>
        <w:t>或</w:t>
      </w:r>
      <w:r>
        <w:rPr>
          <w:rFonts w:ascii="仿宋_GB2312" w:hAnsi="仿宋"/>
        </w:rPr>
        <w:t>地下建筑物</w:t>
      </w:r>
      <w:r>
        <w:rPr>
          <w:rFonts w:ascii="仿宋_GB2312" w:hAnsi="仿宋" w:hint="eastAsia"/>
        </w:rPr>
        <w:t>。</w:t>
      </w:r>
    </w:p>
    <w:p w:rsidR="00B74388" w:rsidRDefault="005E5D12">
      <w:pPr>
        <w:ind w:firstLine="640"/>
      </w:pPr>
      <w:r>
        <w:rPr>
          <w:rFonts w:hint="eastAsia"/>
        </w:rPr>
        <w:t>属于历史城区、历史文化街区、历史文化名镇、历史文化名村、历史风貌区、传统村落、不可移动文物、历史建筑、传统风貌建筑、预先保护对象及古树名木等的，其功能业态导入还应按相关法律、法规、规章和保护规划执行。</w:t>
      </w:r>
    </w:p>
    <w:p w:rsidR="00B74388" w:rsidRDefault="005E5D12">
      <w:pPr>
        <w:ind w:firstLine="640"/>
      </w:pPr>
      <w:r>
        <w:rPr>
          <w:rFonts w:hint="eastAsia"/>
        </w:rPr>
        <w:t>属于行政单位、事业单位及国资企业的，还应满足行政单位、事业单位及国资企业相关管理要求。</w:t>
      </w:r>
    </w:p>
    <w:p w:rsidR="00B74388" w:rsidRDefault="005E5D12">
      <w:pPr>
        <w:pStyle w:val="2"/>
        <w:numPr>
          <w:ilvl w:val="0"/>
          <w:numId w:val="3"/>
        </w:numPr>
        <w:spacing w:before="0" w:afterLines="0" w:after="0" w:line="560" w:lineRule="exact"/>
        <w:ind w:left="0" w:firstLine="0"/>
        <w:rPr>
          <w:rFonts w:ascii="黑体" w:hAnsi="黑体"/>
          <w:b w:val="0"/>
        </w:rPr>
      </w:pPr>
      <w:bookmarkStart w:id="13" w:name="_Toc96076051"/>
      <w:bookmarkStart w:id="14" w:name="_Toc98528547"/>
      <w:bookmarkStart w:id="15" w:name="_Toc80259110"/>
      <w:bookmarkStart w:id="16" w:name="_Toc81549468"/>
      <w:r>
        <w:rPr>
          <w:rFonts w:ascii="黑体" w:hAnsi="黑体" w:hint="eastAsia"/>
          <w:b w:val="0"/>
        </w:rPr>
        <w:t>改造原则</w:t>
      </w:r>
      <w:bookmarkEnd w:id="13"/>
      <w:bookmarkEnd w:id="14"/>
      <w:bookmarkEnd w:id="15"/>
      <w:bookmarkEnd w:id="16"/>
    </w:p>
    <w:p w:rsidR="00B74388" w:rsidRDefault="005E5D12">
      <w:pPr>
        <w:ind w:firstLine="640"/>
      </w:pPr>
      <w:r>
        <w:rPr>
          <w:rFonts w:hint="eastAsia"/>
        </w:rPr>
        <w:t>老旧小区既有建筑功能转变应当严格控制对周边环境及安全的影响，坚持民生优先、补齐短板、品质提升、共治共享，兼顾完善功能和传承历史，广泛征求居民意见，充分尊重业主权利，合理配置服务设施，引入多元社会力量参与，保障建设投资合理权益，以微利运营实现社区“自我造血”。</w:t>
      </w:r>
    </w:p>
    <w:p w:rsidR="00B74388" w:rsidRDefault="005E5D12">
      <w:pPr>
        <w:pStyle w:val="2"/>
        <w:numPr>
          <w:ilvl w:val="0"/>
          <w:numId w:val="3"/>
        </w:numPr>
        <w:spacing w:before="0" w:afterLines="0" w:after="0" w:line="560" w:lineRule="exact"/>
        <w:ind w:left="0" w:firstLine="0"/>
        <w:rPr>
          <w:rFonts w:ascii="黑体" w:hAnsi="黑体"/>
          <w:b w:val="0"/>
        </w:rPr>
      </w:pPr>
      <w:bookmarkStart w:id="17" w:name="_Toc96076052"/>
      <w:bookmarkStart w:id="18" w:name="_Toc98528548"/>
      <w:bookmarkStart w:id="19" w:name="_Toc80259111"/>
      <w:bookmarkStart w:id="20" w:name="_Toc81549469"/>
      <w:r>
        <w:rPr>
          <w:rFonts w:ascii="黑体" w:hAnsi="黑体" w:hint="eastAsia"/>
          <w:b w:val="0"/>
        </w:rPr>
        <w:t>实施主体</w:t>
      </w:r>
      <w:bookmarkEnd w:id="17"/>
      <w:bookmarkEnd w:id="18"/>
      <w:bookmarkEnd w:id="19"/>
      <w:bookmarkEnd w:id="20"/>
    </w:p>
    <w:p w:rsidR="00B74388" w:rsidRDefault="005E5D12">
      <w:pPr>
        <w:ind w:firstLine="640"/>
      </w:pPr>
      <w:r>
        <w:rPr>
          <w:rFonts w:hint="eastAsia"/>
        </w:rPr>
        <w:t>在符合老旧小区微改造实施方案的前提下，</w:t>
      </w:r>
      <w:r>
        <w:rPr>
          <w:rFonts w:ascii="仿宋_GB2312" w:hAnsi="仿宋" w:hint="eastAsia"/>
        </w:rPr>
        <w:t>既有建筑功能转变可由业主自行实施，或由业主</w:t>
      </w:r>
      <w:r>
        <w:rPr>
          <w:rFonts w:hint="eastAsia"/>
        </w:rPr>
        <w:t>委托市场主体、人民政府实施；</w:t>
      </w:r>
      <w:r>
        <w:rPr>
          <w:rFonts w:ascii="仿宋_GB2312" w:hAnsi="仿宋" w:hint="eastAsia"/>
        </w:rPr>
        <w:t>符合规定的，也可由业主、</w:t>
      </w:r>
      <w:r>
        <w:rPr>
          <w:rFonts w:ascii="仿宋_GB2312" w:hAnsi="仿宋"/>
        </w:rPr>
        <w:t>市场主体</w:t>
      </w:r>
      <w:r>
        <w:rPr>
          <w:rFonts w:ascii="仿宋_GB2312" w:hAnsi="仿宋" w:hint="eastAsia"/>
        </w:rPr>
        <w:t>和人民政府</w:t>
      </w:r>
      <w:r>
        <w:rPr>
          <w:rFonts w:ascii="仿宋_GB2312" w:hAnsi="仿宋"/>
        </w:rPr>
        <w:t>合作实施</w:t>
      </w:r>
      <w:r>
        <w:rPr>
          <w:rFonts w:ascii="仿宋_GB2312" w:hAnsi="仿宋" w:hint="eastAsia"/>
        </w:rPr>
        <w:t>。</w:t>
      </w:r>
    </w:p>
    <w:p w:rsidR="00B74388" w:rsidRDefault="005E5D12">
      <w:pPr>
        <w:pStyle w:val="2"/>
        <w:numPr>
          <w:ilvl w:val="0"/>
          <w:numId w:val="3"/>
        </w:numPr>
        <w:spacing w:before="0" w:afterLines="0" w:after="0" w:line="560" w:lineRule="exact"/>
        <w:ind w:left="0" w:firstLine="0"/>
        <w:rPr>
          <w:rFonts w:ascii="黑体" w:hAnsi="黑体"/>
          <w:b w:val="0"/>
        </w:rPr>
      </w:pPr>
      <w:bookmarkStart w:id="21" w:name="_Toc98528549"/>
      <w:bookmarkStart w:id="22" w:name="_Toc96076053"/>
      <w:bookmarkStart w:id="23" w:name="_Toc81549471"/>
      <w:bookmarkStart w:id="24" w:name="_Toc80259113"/>
      <w:r>
        <w:rPr>
          <w:rFonts w:ascii="黑体" w:hAnsi="黑体" w:hint="eastAsia"/>
          <w:b w:val="0"/>
        </w:rPr>
        <w:t>功能业态清单管理</w:t>
      </w:r>
      <w:bookmarkEnd w:id="21"/>
      <w:bookmarkEnd w:id="22"/>
    </w:p>
    <w:p w:rsidR="00B74388" w:rsidRDefault="005E5D12">
      <w:pPr>
        <w:ind w:firstLine="640"/>
        <w:rPr>
          <w:szCs w:val="32"/>
        </w:rPr>
      </w:pPr>
      <w:r>
        <w:rPr>
          <w:rFonts w:hint="eastAsia"/>
          <w:szCs w:val="32"/>
        </w:rPr>
        <w:t>老旧小区改造功能业态正、负面管理清单是规划、建设、施工、消防等的管理依据。</w:t>
      </w:r>
    </w:p>
    <w:p w:rsidR="00B74388" w:rsidRDefault="005E5D12">
      <w:pPr>
        <w:ind w:firstLine="640"/>
        <w:rPr>
          <w:szCs w:val="32"/>
        </w:rPr>
      </w:pPr>
      <w:r>
        <w:rPr>
          <w:rFonts w:hint="eastAsia"/>
          <w:szCs w:val="32"/>
        </w:rPr>
        <w:t>既有建筑功能转变应满足功能业态清单管理要求，严</w:t>
      </w:r>
      <w:r>
        <w:rPr>
          <w:rFonts w:hint="eastAsia"/>
        </w:rPr>
        <w:t>禁</w:t>
      </w:r>
      <w:r>
        <w:rPr>
          <w:rFonts w:hint="eastAsia"/>
        </w:rPr>
        <w:lastRenderedPageBreak/>
        <w:t>影响周边环境、建筑安全、消防安全</w:t>
      </w:r>
      <w:r>
        <w:rPr>
          <w:rFonts w:hint="eastAsia"/>
          <w:szCs w:val="32"/>
        </w:rPr>
        <w:t>。</w:t>
      </w:r>
      <w:r>
        <w:rPr>
          <w:rFonts w:hint="eastAsia"/>
        </w:rPr>
        <w:t>涉及市、区级重点功能片区的，还应符合相关规划。</w:t>
      </w:r>
    </w:p>
    <w:p w:rsidR="00B74388" w:rsidRDefault="005E5D12">
      <w:pPr>
        <w:pStyle w:val="2"/>
        <w:numPr>
          <w:ilvl w:val="0"/>
          <w:numId w:val="3"/>
        </w:numPr>
        <w:spacing w:before="0" w:afterLines="0" w:after="0" w:line="560" w:lineRule="exact"/>
        <w:ind w:left="0" w:firstLine="0"/>
        <w:rPr>
          <w:rFonts w:ascii="黑体" w:hAnsi="黑体"/>
          <w:b w:val="0"/>
        </w:rPr>
      </w:pPr>
      <w:bookmarkStart w:id="25" w:name="_Toc98528550"/>
      <w:bookmarkStart w:id="26" w:name="_Toc96076054"/>
      <w:r>
        <w:rPr>
          <w:rFonts w:ascii="黑体" w:hAnsi="黑体" w:hint="eastAsia"/>
          <w:b w:val="0"/>
        </w:rPr>
        <w:t>改造范围划定</w:t>
      </w:r>
      <w:bookmarkEnd w:id="25"/>
      <w:bookmarkEnd w:id="26"/>
    </w:p>
    <w:p w:rsidR="00B74388" w:rsidRDefault="005E5D12">
      <w:pPr>
        <w:ind w:firstLine="640"/>
      </w:pPr>
      <w:r>
        <w:rPr>
          <w:rFonts w:hint="eastAsia"/>
        </w:rPr>
        <w:t>老旧小区既有建筑功能转变改造范围划定应综合考虑行政管理界限、产权边界、现状社区物业管理和设施系统完整性等因素，结合老旧小区微改造实施方案范围划定。</w:t>
      </w:r>
    </w:p>
    <w:p w:rsidR="00B74388" w:rsidRDefault="005E5D12">
      <w:pPr>
        <w:pStyle w:val="2"/>
        <w:numPr>
          <w:ilvl w:val="0"/>
          <w:numId w:val="3"/>
        </w:numPr>
        <w:spacing w:before="0" w:afterLines="0" w:after="0" w:line="560" w:lineRule="exact"/>
        <w:ind w:left="0" w:firstLine="0"/>
        <w:rPr>
          <w:rFonts w:ascii="黑体" w:hAnsi="黑体"/>
          <w:b w:val="0"/>
        </w:rPr>
      </w:pPr>
      <w:bookmarkStart w:id="27" w:name="_Toc98528551"/>
      <w:bookmarkStart w:id="28" w:name="_Toc96076055"/>
      <w:r>
        <w:rPr>
          <w:rFonts w:ascii="黑体" w:hAnsi="黑体" w:hint="eastAsia"/>
          <w:b w:val="0"/>
        </w:rPr>
        <w:t>方案编制</w:t>
      </w:r>
      <w:bookmarkEnd w:id="27"/>
      <w:bookmarkEnd w:id="28"/>
    </w:p>
    <w:p w:rsidR="00B74388" w:rsidRDefault="005E5D12">
      <w:pPr>
        <w:ind w:firstLine="640"/>
      </w:pPr>
      <w:r>
        <w:rPr>
          <w:rFonts w:hint="eastAsia"/>
        </w:rPr>
        <w:t>拟实施既有建筑功能转变的，应在老旧小区微改造实施方案中编制相应专章，明确以下内容：</w:t>
      </w:r>
    </w:p>
    <w:p w:rsidR="00B74388" w:rsidRDefault="005E5D12">
      <w:pPr>
        <w:pStyle w:val="af3"/>
        <w:numPr>
          <w:ilvl w:val="0"/>
          <w:numId w:val="4"/>
        </w:numPr>
        <w:spacing w:afterLines="0" w:after="0" w:line="560" w:lineRule="exact"/>
        <w:ind w:left="0" w:firstLine="640"/>
      </w:pPr>
      <w:r>
        <w:rPr>
          <w:rFonts w:hint="eastAsia"/>
        </w:rPr>
        <w:t>拟实施功能转变建筑的范围及位置、建筑面积、功能用途及业态、设计方案等；</w:t>
      </w:r>
    </w:p>
    <w:p w:rsidR="00B74388" w:rsidRDefault="005E5D12">
      <w:pPr>
        <w:pStyle w:val="af3"/>
        <w:numPr>
          <w:ilvl w:val="0"/>
          <w:numId w:val="4"/>
        </w:numPr>
        <w:spacing w:afterLines="0" w:after="0" w:line="560" w:lineRule="exact"/>
        <w:ind w:left="0" w:firstLine="640"/>
      </w:pPr>
      <w:r>
        <w:rPr>
          <w:rFonts w:hint="eastAsia"/>
        </w:rPr>
        <w:t>既有建筑转变为公益性设施的，公益性设施的类型、位置、建筑面积等；</w:t>
      </w:r>
    </w:p>
    <w:p w:rsidR="00B74388" w:rsidRDefault="005E5D12">
      <w:pPr>
        <w:pStyle w:val="af3"/>
        <w:numPr>
          <w:ilvl w:val="0"/>
          <w:numId w:val="4"/>
        </w:numPr>
        <w:spacing w:afterLines="0" w:after="0" w:line="560" w:lineRule="exact"/>
        <w:ind w:left="0" w:firstLine="640"/>
      </w:pPr>
      <w:bookmarkStart w:id="29" w:name="_Hlk77352780"/>
      <w:r>
        <w:rPr>
          <w:rFonts w:hint="eastAsia"/>
        </w:rPr>
        <w:t>拟实施功能转变建筑的消防设计和安全评估；</w:t>
      </w:r>
    </w:p>
    <w:p w:rsidR="00B74388" w:rsidRDefault="005E5D12">
      <w:pPr>
        <w:pStyle w:val="af3"/>
        <w:numPr>
          <w:ilvl w:val="0"/>
          <w:numId w:val="4"/>
        </w:numPr>
        <w:spacing w:afterLines="0" w:after="0" w:line="560" w:lineRule="exact"/>
        <w:ind w:left="0" w:firstLine="640"/>
      </w:pPr>
      <w:r>
        <w:rPr>
          <w:rFonts w:hint="eastAsia"/>
        </w:rPr>
        <w:t>拟实施功能转变建筑的结构可靠性及抗震性能鉴定；</w:t>
      </w:r>
    </w:p>
    <w:bookmarkEnd w:id="29"/>
    <w:p w:rsidR="00B74388" w:rsidRDefault="005E5D12">
      <w:pPr>
        <w:pStyle w:val="af3"/>
        <w:numPr>
          <w:ilvl w:val="0"/>
          <w:numId w:val="4"/>
        </w:numPr>
        <w:spacing w:afterLines="0" w:after="0" w:line="560" w:lineRule="exact"/>
        <w:ind w:left="0" w:firstLine="640"/>
      </w:pPr>
      <w:r>
        <w:rPr>
          <w:rFonts w:hint="eastAsia"/>
        </w:rPr>
        <w:t>拟实施功能转变建筑的环境条件相符性分析；</w:t>
      </w:r>
    </w:p>
    <w:p w:rsidR="00B74388" w:rsidRDefault="005E5D12">
      <w:pPr>
        <w:pStyle w:val="af3"/>
        <w:numPr>
          <w:ilvl w:val="0"/>
          <w:numId w:val="4"/>
        </w:numPr>
        <w:spacing w:afterLines="0" w:after="0" w:line="560" w:lineRule="exact"/>
        <w:ind w:left="0" w:firstLine="640"/>
      </w:pPr>
      <w:r>
        <w:rPr>
          <w:rFonts w:hint="eastAsia"/>
        </w:rPr>
        <w:t>既有建筑功能转变的工程费用及其筹集方案；</w:t>
      </w:r>
    </w:p>
    <w:p w:rsidR="00B74388" w:rsidRDefault="005E5D12">
      <w:pPr>
        <w:pStyle w:val="af3"/>
        <w:numPr>
          <w:ilvl w:val="0"/>
          <w:numId w:val="4"/>
        </w:numPr>
        <w:spacing w:afterLines="0" w:after="0" w:line="560" w:lineRule="exact"/>
        <w:ind w:left="0" w:firstLine="640"/>
      </w:pPr>
      <w:r>
        <w:rPr>
          <w:rFonts w:hint="eastAsia"/>
        </w:rPr>
        <w:t>改造计划和实施时序；</w:t>
      </w:r>
    </w:p>
    <w:p w:rsidR="00B74388" w:rsidRDefault="005E5D12">
      <w:pPr>
        <w:pStyle w:val="af3"/>
        <w:numPr>
          <w:ilvl w:val="0"/>
          <w:numId w:val="4"/>
        </w:numPr>
        <w:spacing w:afterLines="0" w:after="0" w:line="560" w:lineRule="exact"/>
        <w:ind w:left="0" w:firstLine="640"/>
      </w:pPr>
      <w:r>
        <w:rPr>
          <w:rFonts w:hint="eastAsia"/>
        </w:rPr>
        <w:t>施工保障措施；</w:t>
      </w:r>
    </w:p>
    <w:p w:rsidR="00B74388" w:rsidRDefault="005E5D12">
      <w:pPr>
        <w:pStyle w:val="af3"/>
        <w:numPr>
          <w:ilvl w:val="0"/>
          <w:numId w:val="4"/>
        </w:numPr>
        <w:spacing w:afterLines="0" w:after="0" w:line="560" w:lineRule="exact"/>
        <w:ind w:left="0" w:firstLine="640"/>
      </w:pPr>
      <w:r>
        <w:rPr>
          <w:rFonts w:hint="eastAsia"/>
        </w:rPr>
        <w:t>前期策划服务、改造建设、社区管养等成本</w:t>
      </w:r>
      <w:r>
        <w:t>和改造</w:t>
      </w:r>
      <w:r>
        <w:rPr>
          <w:rFonts w:hint="eastAsia"/>
        </w:rPr>
        <w:t>运营等收益的经济测算；</w:t>
      </w:r>
    </w:p>
    <w:p w:rsidR="00B74388" w:rsidRDefault="005E5D12">
      <w:pPr>
        <w:pStyle w:val="af3"/>
        <w:numPr>
          <w:ilvl w:val="0"/>
          <w:numId w:val="4"/>
        </w:numPr>
        <w:spacing w:afterLines="0" w:after="0" w:line="560" w:lineRule="exact"/>
        <w:ind w:left="0" w:firstLine="640"/>
      </w:pPr>
      <w:r>
        <w:rPr>
          <w:rFonts w:hint="eastAsia"/>
        </w:rPr>
        <w:t>收益分配、管养责任、退出约束条件及使用期满处置方式。</w:t>
      </w:r>
    </w:p>
    <w:p w:rsidR="00B74388" w:rsidRDefault="005E5D12">
      <w:pPr>
        <w:ind w:firstLine="640"/>
      </w:pPr>
      <w:r>
        <w:rPr>
          <w:rFonts w:hint="eastAsia"/>
        </w:rPr>
        <w:t>涉及历史城区、历史文化街区、历史文化名镇、历史文</w:t>
      </w:r>
      <w:r>
        <w:rPr>
          <w:rFonts w:hint="eastAsia"/>
        </w:rPr>
        <w:lastRenderedPageBreak/>
        <w:t>化名村、历史风貌区、传统村落、不可移动文物、历史建筑、传统风貌建筑、预先保护对象及古树名木等的，应同步编制相应专章。</w:t>
      </w:r>
    </w:p>
    <w:p w:rsidR="00B74388" w:rsidRDefault="005E5D12">
      <w:pPr>
        <w:ind w:firstLine="640"/>
      </w:pPr>
      <w:r>
        <w:rPr>
          <w:rFonts w:hint="eastAsia"/>
        </w:rPr>
        <w:t>涉及工业、仓库类建筑活化利用的，应同步开展环境影响评价。</w:t>
      </w:r>
    </w:p>
    <w:p w:rsidR="00B74388" w:rsidRDefault="005E5D12">
      <w:pPr>
        <w:ind w:firstLine="640"/>
      </w:pPr>
      <w:r>
        <w:rPr>
          <w:rFonts w:hint="eastAsia"/>
        </w:rPr>
        <w:t>各区</w:t>
      </w:r>
      <w:r>
        <w:t>可</w:t>
      </w:r>
      <w:r>
        <w:rPr>
          <w:rFonts w:hint="eastAsia"/>
        </w:rPr>
        <w:t>根据本区实际情况，细化方案编制要求。</w:t>
      </w:r>
    </w:p>
    <w:p w:rsidR="00B74388" w:rsidRDefault="005E5D12">
      <w:pPr>
        <w:pStyle w:val="2"/>
        <w:numPr>
          <w:ilvl w:val="0"/>
          <w:numId w:val="3"/>
        </w:numPr>
        <w:spacing w:before="0" w:afterLines="0" w:after="0" w:line="560" w:lineRule="exact"/>
        <w:ind w:left="0" w:firstLine="0"/>
        <w:rPr>
          <w:rFonts w:ascii="黑体" w:hAnsi="黑体"/>
          <w:b w:val="0"/>
        </w:rPr>
      </w:pPr>
      <w:bookmarkStart w:id="30" w:name="_Toc96076056"/>
      <w:bookmarkStart w:id="31" w:name="_Toc98528552"/>
      <w:bookmarkStart w:id="32" w:name="_Toc77360892"/>
      <w:r>
        <w:rPr>
          <w:rFonts w:ascii="黑体" w:hAnsi="黑体" w:hint="eastAsia"/>
          <w:b w:val="0"/>
        </w:rPr>
        <w:t>意见征求</w:t>
      </w:r>
      <w:bookmarkEnd w:id="30"/>
      <w:bookmarkEnd w:id="31"/>
      <w:bookmarkEnd w:id="32"/>
    </w:p>
    <w:p w:rsidR="00B74388" w:rsidRDefault="005E5D12">
      <w:pPr>
        <w:ind w:firstLine="640"/>
      </w:pPr>
      <w:r>
        <w:rPr>
          <w:rFonts w:hint="eastAsia"/>
        </w:rPr>
        <w:t>【居民意愿摸查】老旧小区微改造实施方案编制前，属地镇（街）应当组织摸查居民改造意愿和需求。</w:t>
      </w:r>
    </w:p>
    <w:p w:rsidR="00B74388" w:rsidRDefault="005E5D12">
      <w:pPr>
        <w:ind w:firstLine="640"/>
      </w:pPr>
      <w:r>
        <w:rPr>
          <w:rFonts w:hint="eastAsia"/>
        </w:rPr>
        <w:t>【实施方案公示】区老旧小区主管部门或</w:t>
      </w:r>
      <w:r>
        <w:rPr>
          <w:rFonts w:hint="eastAsia"/>
          <w:lang w:val="zh-CN"/>
        </w:rPr>
        <w:t>属地镇（街）应按要求对</w:t>
      </w:r>
      <w:r>
        <w:rPr>
          <w:rFonts w:hint="eastAsia"/>
        </w:rPr>
        <w:t>老旧小区微改造实施方案进行公示</w:t>
      </w:r>
      <w:r>
        <w:rPr>
          <w:rFonts w:hint="eastAsia"/>
          <w:lang w:val="zh-CN"/>
        </w:rPr>
        <w:t>，</w:t>
      </w:r>
      <w:r>
        <w:rPr>
          <w:rFonts w:hint="eastAsia"/>
        </w:rPr>
        <w:t>公示期不得少于</w:t>
      </w:r>
      <w:r>
        <w:t>10</w:t>
      </w:r>
      <w:r>
        <w:rPr>
          <w:rFonts w:hint="eastAsia"/>
        </w:rPr>
        <w:t>日。</w:t>
      </w:r>
    </w:p>
    <w:p w:rsidR="00B74388" w:rsidRDefault="005E5D12">
      <w:pPr>
        <w:pStyle w:val="2"/>
        <w:numPr>
          <w:ilvl w:val="0"/>
          <w:numId w:val="3"/>
        </w:numPr>
        <w:spacing w:before="0" w:afterLines="0" w:after="0" w:line="560" w:lineRule="exact"/>
        <w:ind w:left="0" w:firstLine="0"/>
        <w:rPr>
          <w:rFonts w:ascii="黑体" w:hAnsi="黑体"/>
          <w:b w:val="0"/>
        </w:rPr>
      </w:pPr>
      <w:bookmarkStart w:id="33" w:name="_Toc98528553"/>
      <w:r>
        <w:rPr>
          <w:rFonts w:ascii="黑体" w:hAnsi="黑体" w:hint="eastAsia"/>
          <w:b w:val="0"/>
        </w:rPr>
        <w:t>业主表决</w:t>
      </w:r>
      <w:bookmarkEnd w:id="33"/>
    </w:p>
    <w:p w:rsidR="00B74388" w:rsidRDefault="005E5D12">
      <w:pPr>
        <w:ind w:firstLine="640"/>
      </w:pPr>
      <w:r>
        <w:rPr>
          <w:rFonts w:hint="eastAsia"/>
        </w:rPr>
        <w:t>老旧小区微改造实施方案征求意见及公示结束后，属地镇（街）应组织拟实施功能转变的既有建筑利益相关业主对方案第一、二、六、八、九、十条及其他必要内容进行表决。</w:t>
      </w:r>
    </w:p>
    <w:p w:rsidR="00B74388" w:rsidRDefault="005E5D12">
      <w:pPr>
        <w:ind w:firstLine="640"/>
      </w:pPr>
      <w:r>
        <w:rPr>
          <w:rFonts w:hint="eastAsia"/>
        </w:rPr>
        <w:t>拟实施功能转变的专有物业部分，应当经占份额三分之二以上的按份共有人或全体共同共有人同意，但是共有人之间另有约定的除外。</w:t>
      </w:r>
    </w:p>
    <w:p w:rsidR="00B74388" w:rsidRDefault="005E5D12">
      <w:pPr>
        <w:ind w:firstLine="640"/>
      </w:pPr>
      <w:r>
        <w:rPr>
          <w:rFonts w:hint="eastAsia"/>
        </w:rPr>
        <w:t>改变建筑物专有部分以外的共有部分用途的，应当</w:t>
      </w:r>
      <w:r>
        <w:rPr>
          <w:rFonts w:ascii="仿宋_GB2312" w:hAnsi="仿宋"/>
        </w:rPr>
        <w:t>经本单</w:t>
      </w:r>
      <w:r>
        <w:rPr>
          <w:rFonts w:ascii="仿宋_GB2312" w:hAnsi="仿宋" w:hint="eastAsia"/>
        </w:rPr>
        <w:t>元或本幢房屋</w:t>
      </w:r>
      <w:r>
        <w:rPr>
          <w:rFonts w:hint="eastAsia"/>
        </w:rPr>
        <w:t>专有部分面积占比三分之二以上的业主且人数占比三分之二以上的业主参与表决，并由经参与表决专有部分面积四分之三以上的业主且参与表决人数四分之三以上的业主同意。</w:t>
      </w:r>
    </w:p>
    <w:p w:rsidR="00B74388" w:rsidRDefault="005E5D12">
      <w:pPr>
        <w:pStyle w:val="2"/>
        <w:numPr>
          <w:ilvl w:val="0"/>
          <w:numId w:val="3"/>
        </w:numPr>
        <w:spacing w:before="0" w:afterLines="0" w:after="0" w:line="560" w:lineRule="exact"/>
        <w:ind w:left="0" w:firstLine="0"/>
        <w:rPr>
          <w:rFonts w:ascii="黑体" w:hAnsi="黑体"/>
          <w:b w:val="0"/>
        </w:rPr>
      </w:pPr>
      <w:bookmarkStart w:id="34" w:name="_Toc77360893"/>
      <w:bookmarkStart w:id="35" w:name="_Toc96076057"/>
      <w:bookmarkStart w:id="36" w:name="_Toc98528554"/>
      <w:bookmarkEnd w:id="23"/>
      <w:bookmarkEnd w:id="24"/>
      <w:r>
        <w:rPr>
          <w:rFonts w:ascii="黑体" w:hAnsi="黑体" w:hint="eastAsia"/>
          <w:b w:val="0"/>
        </w:rPr>
        <w:lastRenderedPageBreak/>
        <w:t>方案</w:t>
      </w:r>
      <w:bookmarkEnd w:id="34"/>
      <w:bookmarkEnd w:id="35"/>
      <w:r>
        <w:rPr>
          <w:rFonts w:ascii="黑体" w:hAnsi="黑体" w:hint="eastAsia"/>
          <w:b w:val="0"/>
        </w:rPr>
        <w:t>审批</w:t>
      </w:r>
      <w:bookmarkEnd w:id="36"/>
    </w:p>
    <w:p w:rsidR="00B74388" w:rsidRDefault="005E5D12">
      <w:pPr>
        <w:ind w:firstLine="640"/>
      </w:pPr>
      <w:r>
        <w:t>区人民政府</w:t>
      </w:r>
      <w:r>
        <w:rPr>
          <w:rFonts w:hint="eastAsia"/>
        </w:rPr>
        <w:t>或其委托单位应组织相关管理部门对老旧小区微改造实施方案开展联合审查</w:t>
      </w:r>
      <w:r>
        <w:rPr>
          <w:rFonts w:hint="eastAsia"/>
          <w:szCs w:val="32"/>
        </w:rPr>
        <w:t>。</w:t>
      </w:r>
      <w:r>
        <w:rPr>
          <w:rFonts w:hint="eastAsia"/>
        </w:rPr>
        <w:t>相关管理部门可以委托第三方机构对方案进行审查。</w:t>
      </w:r>
    </w:p>
    <w:p w:rsidR="00B74388" w:rsidRDefault="005E5D12">
      <w:pPr>
        <w:ind w:firstLine="640"/>
      </w:pPr>
      <w:r>
        <w:rPr>
          <w:rFonts w:hint="eastAsia"/>
        </w:rPr>
        <w:t>审查通过后，</w:t>
      </w:r>
      <w:r>
        <w:t>区人民政府出具</w:t>
      </w:r>
      <w:r>
        <w:rPr>
          <w:rFonts w:hint="eastAsia"/>
        </w:rPr>
        <w:t>批复</w:t>
      </w:r>
      <w:r>
        <w:t>函</w:t>
      </w:r>
      <w:r>
        <w:rPr>
          <w:rFonts w:hint="eastAsia"/>
        </w:rPr>
        <w:t>或区政府常务会议纪要，</w:t>
      </w:r>
      <w:r>
        <w:t>作为</w:t>
      </w:r>
      <w:r>
        <w:rPr>
          <w:rFonts w:hint="eastAsia"/>
        </w:rPr>
        <w:t>后续实施及办理相关手续的</w:t>
      </w:r>
      <w:r>
        <w:t>依据</w:t>
      </w:r>
      <w:r>
        <w:rPr>
          <w:rFonts w:hint="eastAsia"/>
        </w:rPr>
        <w:t>。</w:t>
      </w:r>
      <w:r>
        <w:rPr>
          <w:rFonts w:hint="eastAsia"/>
        </w:rPr>
        <w:t xml:space="preserve"> </w:t>
      </w:r>
    </w:p>
    <w:p w:rsidR="00B74388" w:rsidRDefault="005E5D12">
      <w:pPr>
        <w:pStyle w:val="2"/>
        <w:numPr>
          <w:ilvl w:val="0"/>
          <w:numId w:val="3"/>
        </w:numPr>
        <w:spacing w:before="0" w:afterLines="0" w:after="0" w:line="560" w:lineRule="exact"/>
        <w:ind w:left="0" w:firstLine="0"/>
        <w:rPr>
          <w:rFonts w:ascii="黑体" w:hAnsi="黑体"/>
          <w:b w:val="0"/>
          <w:lang w:eastAsia="zh-TW"/>
        </w:rPr>
      </w:pPr>
      <w:bookmarkStart w:id="37" w:name="_Toc80259116"/>
      <w:bookmarkStart w:id="38" w:name="_Toc98528555"/>
      <w:bookmarkStart w:id="39" w:name="_Toc81549474"/>
      <w:bookmarkStart w:id="40" w:name="_Toc96076059"/>
      <w:r>
        <w:rPr>
          <w:rFonts w:ascii="黑体" w:hAnsi="黑体" w:hint="eastAsia"/>
          <w:b w:val="0"/>
        </w:rPr>
        <w:t>免于办理建设工程规划许可</w:t>
      </w:r>
      <w:bookmarkEnd w:id="37"/>
      <w:r>
        <w:rPr>
          <w:rFonts w:ascii="黑体" w:hAnsi="黑体" w:hint="eastAsia"/>
          <w:b w:val="0"/>
        </w:rPr>
        <w:t>、环境影响评价</w:t>
      </w:r>
      <w:bookmarkEnd w:id="38"/>
      <w:bookmarkEnd w:id="39"/>
      <w:bookmarkEnd w:id="40"/>
    </w:p>
    <w:p w:rsidR="00B74388" w:rsidRDefault="005E5D12">
      <w:pPr>
        <w:ind w:firstLine="640"/>
      </w:pPr>
      <w:r>
        <w:rPr>
          <w:rFonts w:hint="eastAsia"/>
        </w:rPr>
        <w:t>既有建筑功能转变符合老旧小区功能业态正面清单管理要求的，免于办理建设工程规划许可、环境影响评价手续，但应符合市容环卫标准和相关管理要求。</w:t>
      </w:r>
    </w:p>
    <w:p w:rsidR="00B74388" w:rsidRDefault="005E5D12">
      <w:pPr>
        <w:ind w:firstLine="640"/>
      </w:pPr>
      <w:r>
        <w:rPr>
          <w:rFonts w:hint="eastAsia"/>
        </w:rPr>
        <w:t>涉及工业或仓储建筑功能转变的，根据有关规定确定是否办理环境影响手续。</w:t>
      </w:r>
    </w:p>
    <w:p w:rsidR="00B74388" w:rsidRDefault="005E5D12">
      <w:pPr>
        <w:pStyle w:val="2"/>
        <w:numPr>
          <w:ilvl w:val="0"/>
          <w:numId w:val="3"/>
        </w:numPr>
        <w:spacing w:before="0" w:afterLines="0" w:after="0" w:line="560" w:lineRule="exact"/>
        <w:ind w:left="0" w:firstLine="0"/>
        <w:rPr>
          <w:rFonts w:ascii="黑体" w:hAnsi="黑体"/>
          <w:b w:val="0"/>
        </w:rPr>
      </w:pPr>
      <w:bookmarkStart w:id="41" w:name="_Toc80259118"/>
      <w:bookmarkStart w:id="42" w:name="_Toc81549475"/>
      <w:bookmarkStart w:id="43" w:name="_Toc96076060"/>
      <w:bookmarkStart w:id="44" w:name="_Toc98528556"/>
      <w:bookmarkStart w:id="45" w:name="_Toc80259119"/>
      <w:bookmarkStart w:id="46" w:name="_Toc81549476"/>
      <w:r>
        <w:rPr>
          <w:rFonts w:ascii="黑体" w:hAnsi="黑体" w:hint="eastAsia"/>
          <w:b w:val="0"/>
        </w:rPr>
        <w:t>消防</w:t>
      </w:r>
      <w:bookmarkEnd w:id="41"/>
      <w:bookmarkEnd w:id="42"/>
      <w:r>
        <w:rPr>
          <w:rFonts w:ascii="黑体" w:hAnsi="黑体" w:hint="eastAsia"/>
          <w:b w:val="0"/>
        </w:rPr>
        <w:t>设计审查</w:t>
      </w:r>
      <w:bookmarkEnd w:id="43"/>
      <w:bookmarkEnd w:id="44"/>
      <w:r>
        <w:rPr>
          <w:rFonts w:ascii="黑体" w:hAnsi="黑体" w:hint="eastAsia"/>
          <w:b w:val="0"/>
        </w:rPr>
        <w:t>、备案抽查</w:t>
      </w:r>
    </w:p>
    <w:p w:rsidR="00B74388" w:rsidRDefault="005E5D12">
      <w:pPr>
        <w:ind w:firstLine="640"/>
      </w:pPr>
      <w:r>
        <w:rPr>
          <w:rFonts w:hint="eastAsia"/>
        </w:rPr>
        <w:t>既有建筑功能转变后</w:t>
      </w:r>
      <w:r>
        <w:rPr>
          <w:rFonts w:hint="eastAsia"/>
          <w:lang w:bidi="ar"/>
        </w:rPr>
        <w:t>属于《建设工程消防设计审查验收管理暂行规定》（住房和城乡建设部令第</w:t>
      </w:r>
      <w:r>
        <w:rPr>
          <w:rFonts w:hint="eastAsia"/>
          <w:lang w:bidi="ar"/>
        </w:rPr>
        <w:t>51</w:t>
      </w:r>
      <w:r>
        <w:rPr>
          <w:rFonts w:hint="eastAsia"/>
          <w:lang w:bidi="ar"/>
        </w:rPr>
        <w:t>号）所规定的特殊建设工程情形的，</w:t>
      </w:r>
      <w:r>
        <w:rPr>
          <w:rFonts w:hint="eastAsia"/>
        </w:rPr>
        <w:t>住房和城乡建设主管部门应当根据已批复的实施方案，按照改造后功能对改造事项进行消防设计审查。其他建设工程</w:t>
      </w:r>
      <w:r>
        <w:rPr>
          <w:rFonts w:hint="eastAsia"/>
          <w:lang w:bidi="ar"/>
        </w:rPr>
        <w:t>实行消防备案抽查</w:t>
      </w:r>
      <w:r>
        <w:rPr>
          <w:rFonts w:hint="eastAsia"/>
        </w:rPr>
        <w:t>。</w:t>
      </w:r>
    </w:p>
    <w:p w:rsidR="00B74388" w:rsidRDefault="005E5D12">
      <w:pPr>
        <w:pStyle w:val="2"/>
        <w:numPr>
          <w:ilvl w:val="0"/>
          <w:numId w:val="3"/>
        </w:numPr>
        <w:spacing w:before="0" w:afterLines="0" w:after="0" w:line="560" w:lineRule="exact"/>
        <w:ind w:left="0" w:firstLine="0"/>
        <w:rPr>
          <w:rFonts w:ascii="黑体" w:hAnsi="黑体"/>
          <w:b w:val="0"/>
        </w:rPr>
      </w:pPr>
      <w:bookmarkStart w:id="47" w:name="_Toc96076061"/>
      <w:bookmarkStart w:id="48" w:name="_Toc98528557"/>
      <w:r>
        <w:rPr>
          <w:rFonts w:ascii="黑体" w:hAnsi="黑体" w:hint="eastAsia"/>
          <w:b w:val="0"/>
        </w:rPr>
        <w:t>建筑工程施工许可</w:t>
      </w:r>
      <w:bookmarkEnd w:id="45"/>
      <w:bookmarkEnd w:id="46"/>
      <w:bookmarkEnd w:id="47"/>
      <w:bookmarkEnd w:id="48"/>
    </w:p>
    <w:p w:rsidR="00B74388" w:rsidRDefault="005E5D12">
      <w:pPr>
        <w:ind w:firstLine="640"/>
      </w:pPr>
      <w:r>
        <w:rPr>
          <w:rFonts w:ascii="仿宋_GB2312" w:hAnsi="仿宋_GB2312" w:cs="仿宋_GB2312" w:hint="eastAsia"/>
        </w:rPr>
        <w:t>既有建筑功能转变项目工程投资额</w:t>
      </w:r>
      <w:r>
        <w:rPr>
          <w:rFonts w:ascii="仿宋_GB2312" w:hAnsi="仿宋_GB2312" w:cs="仿宋_GB2312"/>
        </w:rPr>
        <w:t>100万元以上</w:t>
      </w:r>
      <w:r>
        <w:rPr>
          <w:rFonts w:ascii="仿宋_GB2312" w:hAnsi="仿宋_GB2312" w:cs="仿宋_GB2312" w:hint="eastAsia"/>
        </w:rPr>
        <w:t>且</w:t>
      </w:r>
      <w:r>
        <w:rPr>
          <w:rFonts w:ascii="仿宋_GB2312" w:hAnsi="仿宋_GB2312" w:cs="仿宋_GB2312"/>
        </w:rPr>
        <w:t>建筑面积500平方米以上的，应当到</w:t>
      </w:r>
      <w:r>
        <w:rPr>
          <w:rFonts w:ascii="仿宋_GB2312" w:hAnsi="仿宋_GB2312" w:cs="仿宋_GB2312" w:hint="eastAsia"/>
        </w:rPr>
        <w:t>项目属地</w:t>
      </w:r>
      <w:r>
        <w:rPr>
          <w:rFonts w:ascii="仿宋_GB2312" w:hAnsi="仿宋_GB2312" w:cs="仿宋_GB2312"/>
        </w:rPr>
        <w:t>区住房城乡建设部门办理</w:t>
      </w:r>
      <w:r>
        <w:rPr>
          <w:rFonts w:ascii="仿宋_GB2312" w:hAnsi="仿宋_GB2312" w:cs="仿宋_GB2312" w:hint="eastAsia"/>
        </w:rPr>
        <w:t>建筑工程施工许可手续</w:t>
      </w:r>
      <w:r>
        <w:rPr>
          <w:rFonts w:hint="eastAsia"/>
        </w:rPr>
        <w:t>（含工程质量安全监督手续）</w:t>
      </w:r>
      <w:r>
        <w:rPr>
          <w:rFonts w:ascii="仿宋_GB2312" w:hAnsi="仿宋_GB2312" w:cs="仿宋_GB2312" w:hint="eastAsia"/>
        </w:rPr>
        <w:t>；</w:t>
      </w:r>
      <w:r>
        <w:rPr>
          <w:rFonts w:ascii="仿宋_GB2312" w:hint="eastAsia"/>
        </w:rPr>
        <w:t>工程投资</w:t>
      </w:r>
      <w:r>
        <w:rPr>
          <w:rFonts w:hint="eastAsia"/>
        </w:rPr>
        <w:t>额</w:t>
      </w:r>
      <w:r>
        <w:t>100</w:t>
      </w:r>
      <w:r>
        <w:rPr>
          <w:rFonts w:hint="eastAsia"/>
        </w:rPr>
        <w:t>万元以下（含</w:t>
      </w:r>
      <w:r>
        <w:t>100</w:t>
      </w:r>
      <w:r>
        <w:rPr>
          <w:rFonts w:hint="eastAsia"/>
        </w:rPr>
        <w:t>万元）</w:t>
      </w:r>
      <w:r>
        <w:rPr>
          <w:rFonts w:ascii="仿宋_GB2312" w:hint="eastAsia"/>
        </w:rPr>
        <w:t>或者</w:t>
      </w:r>
      <w:r>
        <w:rPr>
          <w:rFonts w:hint="eastAsia"/>
        </w:rPr>
        <w:t>建筑面积</w:t>
      </w:r>
      <w:r>
        <w:rPr>
          <w:rFonts w:hint="eastAsia"/>
        </w:rPr>
        <w:t>500</w:t>
      </w:r>
      <w:r>
        <w:rPr>
          <w:rFonts w:hint="eastAsia"/>
        </w:rPr>
        <w:t>平方米以下（含</w:t>
      </w:r>
      <w:r>
        <w:rPr>
          <w:rFonts w:hint="eastAsia"/>
        </w:rPr>
        <w:t>500</w:t>
      </w:r>
      <w:r>
        <w:rPr>
          <w:rFonts w:hint="eastAsia"/>
        </w:rPr>
        <w:t>平方米）的，无需办理建筑工程施工许</w:t>
      </w:r>
      <w:r>
        <w:rPr>
          <w:rFonts w:hint="eastAsia"/>
        </w:rPr>
        <w:lastRenderedPageBreak/>
        <w:t>可，应到属地街道办事处办理开工建设信息录入管理手续。</w:t>
      </w:r>
    </w:p>
    <w:p w:rsidR="00B74388" w:rsidRDefault="005E5D12">
      <w:pPr>
        <w:pStyle w:val="af4"/>
        <w:spacing w:line="560" w:lineRule="exact"/>
        <w:rPr>
          <w:rFonts w:ascii="Calibri" w:hAnsi="Calibri"/>
          <w:sz w:val="21"/>
          <w:szCs w:val="21"/>
        </w:rPr>
      </w:pPr>
      <w:r>
        <w:rPr>
          <w:rFonts w:hint="eastAsia"/>
        </w:rPr>
        <w:t>限额以下小型工程的建设实行开工建设信息录入管理制度。</w:t>
      </w:r>
    </w:p>
    <w:p w:rsidR="00B74388" w:rsidRDefault="005E5D12">
      <w:pPr>
        <w:pStyle w:val="2"/>
        <w:numPr>
          <w:ilvl w:val="0"/>
          <w:numId w:val="3"/>
        </w:numPr>
        <w:spacing w:before="0" w:afterLines="0" w:after="0" w:line="560" w:lineRule="exact"/>
        <w:ind w:left="0" w:firstLine="0"/>
        <w:rPr>
          <w:rFonts w:ascii="黑体" w:hAnsi="黑体"/>
          <w:b w:val="0"/>
        </w:rPr>
      </w:pPr>
      <w:bookmarkStart w:id="49" w:name="_Toc80259120"/>
      <w:bookmarkStart w:id="50" w:name="_Toc96076062"/>
      <w:bookmarkStart w:id="51" w:name="_Toc81549477"/>
      <w:bookmarkStart w:id="52" w:name="_Toc98528558"/>
      <w:r>
        <w:rPr>
          <w:rFonts w:ascii="黑体" w:hAnsi="黑体" w:hint="eastAsia"/>
          <w:b w:val="0"/>
        </w:rPr>
        <w:t>竣工验收</w:t>
      </w:r>
      <w:bookmarkEnd w:id="49"/>
      <w:bookmarkEnd w:id="50"/>
      <w:bookmarkEnd w:id="51"/>
      <w:bookmarkEnd w:id="52"/>
    </w:p>
    <w:p w:rsidR="00B74388" w:rsidRDefault="005E5D12">
      <w:pPr>
        <w:ind w:firstLine="640"/>
        <w:rPr>
          <w:b/>
          <w:bCs/>
        </w:rPr>
      </w:pPr>
      <w:r>
        <w:rPr>
          <w:rFonts w:hint="eastAsia"/>
        </w:rPr>
        <w:t>老旧小区微改造项目按照相关规定办理竣工验收。</w:t>
      </w:r>
      <w:r>
        <w:rPr>
          <w:rFonts w:ascii="仿宋_GB2312" w:hAnsi="仿宋" w:hint="eastAsia"/>
        </w:rPr>
        <w:t>竣工档案报送城建档案馆（办）存档。</w:t>
      </w:r>
    </w:p>
    <w:p w:rsidR="00B74388" w:rsidRDefault="005E5D12">
      <w:pPr>
        <w:pStyle w:val="2"/>
        <w:numPr>
          <w:ilvl w:val="0"/>
          <w:numId w:val="3"/>
        </w:numPr>
        <w:spacing w:before="0" w:afterLines="0" w:after="0" w:line="560" w:lineRule="exact"/>
        <w:ind w:left="0" w:firstLine="0"/>
        <w:rPr>
          <w:rFonts w:ascii="黑体" w:hAnsi="黑体"/>
          <w:b w:val="0"/>
        </w:rPr>
      </w:pPr>
      <w:bookmarkStart w:id="53" w:name="_Toc81549478"/>
      <w:bookmarkStart w:id="54" w:name="_Toc80259117"/>
      <w:bookmarkStart w:id="55" w:name="_Toc96076063"/>
      <w:bookmarkStart w:id="56" w:name="_Toc98528559"/>
      <w:bookmarkStart w:id="57" w:name="_Toc80259122"/>
      <w:bookmarkStart w:id="58" w:name="_Toc80259123"/>
      <w:bookmarkStart w:id="59" w:name="_Toc81549480"/>
      <w:r>
        <w:rPr>
          <w:rFonts w:ascii="黑体" w:hAnsi="黑体" w:hint="eastAsia"/>
          <w:b w:val="0"/>
        </w:rPr>
        <w:t>项目监管协议</w:t>
      </w:r>
      <w:bookmarkEnd w:id="53"/>
      <w:bookmarkEnd w:id="54"/>
      <w:r>
        <w:rPr>
          <w:rFonts w:ascii="黑体" w:hAnsi="黑体" w:hint="eastAsia"/>
          <w:b w:val="0"/>
        </w:rPr>
        <w:t>签订</w:t>
      </w:r>
      <w:bookmarkEnd w:id="55"/>
      <w:bookmarkEnd w:id="56"/>
    </w:p>
    <w:p w:rsidR="00B74388" w:rsidRDefault="005E5D12">
      <w:pPr>
        <w:ind w:firstLine="640"/>
      </w:pPr>
      <w:r>
        <w:rPr>
          <w:rFonts w:hint="eastAsia"/>
        </w:rPr>
        <w:t>属地镇（街）、业主、实施主体应当在方案批复后三个月内签订既有建筑功能转变项目监管协议。监管协议应包括第九条业主表决同意事项。</w:t>
      </w:r>
    </w:p>
    <w:p w:rsidR="00B74388" w:rsidRDefault="005E5D12">
      <w:pPr>
        <w:ind w:firstLine="640"/>
      </w:pPr>
      <w:r>
        <w:rPr>
          <w:rFonts w:hint="eastAsia"/>
        </w:rPr>
        <w:t>存在擅自改变使用用途、违反监管协议约定、居民强烈反对等问题，在规定时间内不整改或整改未达到要求的，按监管协议启动项目退出程序。</w:t>
      </w:r>
    </w:p>
    <w:p w:rsidR="00B74388" w:rsidRDefault="005E5D12">
      <w:pPr>
        <w:pStyle w:val="2"/>
        <w:numPr>
          <w:ilvl w:val="0"/>
          <w:numId w:val="3"/>
        </w:numPr>
        <w:spacing w:before="0" w:afterLines="0" w:after="0" w:line="560" w:lineRule="exact"/>
        <w:ind w:left="0" w:firstLine="0"/>
        <w:rPr>
          <w:rFonts w:ascii="黑体" w:hAnsi="黑体"/>
          <w:b w:val="0"/>
        </w:rPr>
      </w:pPr>
      <w:bookmarkStart w:id="60" w:name="_Toc96076064"/>
      <w:bookmarkStart w:id="61" w:name="_Toc98528560"/>
      <w:bookmarkEnd w:id="57"/>
      <w:r>
        <w:rPr>
          <w:rFonts w:ascii="黑体" w:hAnsi="黑体" w:hint="eastAsia"/>
          <w:b w:val="0"/>
        </w:rPr>
        <w:t>商事登记</w:t>
      </w:r>
      <w:bookmarkEnd w:id="60"/>
      <w:bookmarkEnd w:id="61"/>
    </w:p>
    <w:p w:rsidR="00B74388" w:rsidRDefault="005E5D12">
      <w:pPr>
        <w:ind w:firstLine="640"/>
        <w:rPr>
          <w:rFonts w:ascii="宋体" w:eastAsia="宋体" w:hAnsi="宋体" w:cs="宋体"/>
          <w:color w:val="FF0000"/>
          <w:kern w:val="0"/>
          <w:sz w:val="24"/>
          <w:szCs w:val="24"/>
        </w:rPr>
      </w:pPr>
      <w:r>
        <w:rPr>
          <w:rFonts w:hint="eastAsia"/>
        </w:rPr>
        <w:t>属地镇（街）根据已批复的实施方案或区政府常务会议纪要，出具</w:t>
      </w:r>
      <w:r>
        <w:rPr>
          <w:rFonts w:ascii="仿宋_GB2312" w:hAnsi="仿宋" w:hint="eastAsia"/>
        </w:rPr>
        <w:t>同意既有建筑功能转变的场地证明</w:t>
      </w:r>
      <w:r>
        <w:rPr>
          <w:rFonts w:hint="eastAsia"/>
        </w:rPr>
        <w:t>。</w:t>
      </w:r>
      <w:r>
        <w:rPr>
          <w:rFonts w:ascii="仿宋_GB2312" w:hAnsi="仿宋" w:hint="eastAsia"/>
        </w:rPr>
        <w:t>场地使用证明不作为对建筑合法性的确认、不动产权属及使用功能的证明和房屋、土地征收补偿的依据。</w:t>
      </w:r>
    </w:p>
    <w:p w:rsidR="00B74388" w:rsidRDefault="005E5D12">
      <w:pPr>
        <w:ind w:firstLine="640"/>
      </w:pPr>
      <w:r>
        <w:rPr>
          <w:rFonts w:hint="eastAsia"/>
        </w:rPr>
        <w:t>实施主体可提交功能转变场地证明作为住所、经营场所使用证明到商事登记管理部门办理注册登记</w:t>
      </w:r>
      <w:r>
        <w:rPr>
          <w:rFonts w:ascii="仿宋_GB2312" w:hAnsi="仿宋" w:hint="eastAsia"/>
        </w:rPr>
        <w:t>，无需提供产权证明。</w:t>
      </w:r>
      <w:bookmarkEnd w:id="58"/>
      <w:bookmarkEnd w:id="59"/>
    </w:p>
    <w:p w:rsidR="00B74388" w:rsidRDefault="005E5D12">
      <w:pPr>
        <w:pStyle w:val="2"/>
        <w:numPr>
          <w:ilvl w:val="0"/>
          <w:numId w:val="3"/>
        </w:numPr>
        <w:spacing w:before="0" w:afterLines="0" w:after="0" w:line="560" w:lineRule="exact"/>
        <w:ind w:left="0" w:firstLine="0"/>
        <w:rPr>
          <w:rFonts w:ascii="黑体" w:hAnsi="黑体"/>
          <w:b w:val="0"/>
        </w:rPr>
      </w:pPr>
      <w:bookmarkStart w:id="62" w:name="_Toc98528561"/>
      <w:bookmarkStart w:id="63" w:name="_Toc96076065"/>
      <w:bookmarkStart w:id="64" w:name="_Toc81549482"/>
      <w:bookmarkStart w:id="65" w:name="_Toc77779438"/>
      <w:bookmarkStart w:id="66" w:name="_Toc80259125"/>
      <w:r>
        <w:rPr>
          <w:rFonts w:ascii="黑体" w:hAnsi="黑体" w:hint="eastAsia"/>
          <w:b w:val="0"/>
        </w:rPr>
        <w:t>收益管理</w:t>
      </w:r>
      <w:bookmarkEnd w:id="62"/>
      <w:bookmarkEnd w:id="63"/>
    </w:p>
    <w:p w:rsidR="00B74388" w:rsidRDefault="005E5D12">
      <w:pPr>
        <w:ind w:firstLine="640"/>
      </w:pPr>
      <w:r>
        <w:rPr>
          <w:rFonts w:hint="eastAsia"/>
        </w:rPr>
        <w:t>既有建筑功能转变产生的收益按约定处理，可用于抵扣</w:t>
      </w:r>
      <w:r>
        <w:rPr>
          <w:rFonts w:ascii="仿宋" w:hint="eastAsia"/>
        </w:rPr>
        <w:t>前期策划服务、改造建设、社区管养等相关成本费用。</w:t>
      </w:r>
    </w:p>
    <w:p w:rsidR="00B74388" w:rsidRDefault="00B74388">
      <w:pPr>
        <w:pStyle w:val="af4"/>
        <w:spacing w:line="560" w:lineRule="exact"/>
      </w:pPr>
    </w:p>
    <w:p w:rsidR="00B74388" w:rsidRDefault="005E5D12">
      <w:pPr>
        <w:pStyle w:val="2"/>
        <w:numPr>
          <w:ilvl w:val="0"/>
          <w:numId w:val="3"/>
        </w:numPr>
        <w:spacing w:before="0" w:afterLines="0" w:after="0" w:line="560" w:lineRule="exact"/>
        <w:ind w:left="0" w:firstLine="0"/>
        <w:rPr>
          <w:rFonts w:ascii="黑体" w:hAnsi="黑体"/>
          <w:b w:val="0"/>
        </w:rPr>
      </w:pPr>
      <w:bookmarkStart w:id="67" w:name="_Toc96076066"/>
      <w:bookmarkStart w:id="68" w:name="_Toc98528562"/>
      <w:r>
        <w:rPr>
          <w:rFonts w:ascii="黑体" w:hAnsi="黑体"/>
          <w:b w:val="0"/>
        </w:rPr>
        <w:lastRenderedPageBreak/>
        <w:t>期满物业处置</w:t>
      </w:r>
      <w:bookmarkEnd w:id="64"/>
      <w:bookmarkEnd w:id="65"/>
      <w:bookmarkEnd w:id="66"/>
      <w:bookmarkEnd w:id="67"/>
      <w:bookmarkEnd w:id="68"/>
    </w:p>
    <w:p w:rsidR="00B74388" w:rsidRDefault="005E5D12">
      <w:pPr>
        <w:ind w:firstLine="640"/>
        <w:rPr>
          <w:rFonts w:ascii="仿宋_GB2312" w:hAnsi="仿宋"/>
        </w:rPr>
      </w:pPr>
      <w:r>
        <w:rPr>
          <w:rFonts w:ascii="仿宋_GB2312" w:hAnsi="仿宋" w:hint="eastAsia"/>
        </w:rPr>
        <w:t>协议约定使用期满后，应对既有建筑转变功能的使用情况开展评估，可结合老旧小区居民意愿采取续留、改造、恢复等处置方式。</w:t>
      </w:r>
    </w:p>
    <w:p w:rsidR="00B74388" w:rsidRDefault="005E5D12">
      <w:pPr>
        <w:pStyle w:val="2"/>
        <w:numPr>
          <w:ilvl w:val="0"/>
          <w:numId w:val="3"/>
        </w:numPr>
        <w:spacing w:before="0" w:afterLines="0" w:after="0" w:line="560" w:lineRule="exact"/>
        <w:ind w:left="0" w:firstLine="0"/>
        <w:rPr>
          <w:rFonts w:ascii="黑体" w:hAnsi="黑体"/>
          <w:b w:val="0"/>
        </w:rPr>
      </w:pPr>
      <w:bookmarkStart w:id="69" w:name="_Toc96076067"/>
      <w:bookmarkStart w:id="70" w:name="_Toc77779439"/>
      <w:bookmarkStart w:id="71" w:name="_Toc81549483"/>
      <w:bookmarkStart w:id="72" w:name="_Toc80259126"/>
      <w:bookmarkStart w:id="73" w:name="_Toc98528563"/>
      <w:r>
        <w:rPr>
          <w:rFonts w:ascii="黑体" w:hAnsi="黑体" w:hint="eastAsia"/>
          <w:b w:val="0"/>
        </w:rPr>
        <w:t>施行时间</w:t>
      </w:r>
      <w:bookmarkEnd w:id="69"/>
      <w:bookmarkEnd w:id="70"/>
      <w:bookmarkEnd w:id="71"/>
      <w:bookmarkEnd w:id="72"/>
      <w:bookmarkEnd w:id="73"/>
    </w:p>
    <w:p w:rsidR="00B74388" w:rsidRDefault="005E5D12">
      <w:pPr>
        <w:ind w:firstLine="640"/>
      </w:pPr>
      <w:r>
        <w:rPr>
          <w:rFonts w:hint="eastAsia"/>
        </w:rPr>
        <w:t>本办法自</w:t>
      </w:r>
      <w:r>
        <w:rPr>
          <w:rFonts w:hint="eastAsia"/>
        </w:rPr>
        <w:t>X</w:t>
      </w:r>
      <w:r>
        <w:rPr>
          <w:rFonts w:hint="eastAsia"/>
        </w:rPr>
        <w:t>年</w:t>
      </w:r>
      <w:r>
        <w:rPr>
          <w:rFonts w:hint="eastAsia"/>
        </w:rPr>
        <w:t>X</w:t>
      </w:r>
      <w:r>
        <w:rPr>
          <w:rFonts w:hint="eastAsia"/>
        </w:rPr>
        <w:t>月</w:t>
      </w:r>
      <w:r>
        <w:rPr>
          <w:rFonts w:hint="eastAsia"/>
        </w:rPr>
        <w:t>X</w:t>
      </w:r>
      <w:r>
        <w:rPr>
          <w:rFonts w:hint="eastAsia"/>
        </w:rPr>
        <w:t>日起施行。</w:t>
      </w:r>
    </w:p>
    <w:p w:rsidR="00B74388" w:rsidRDefault="00B74388">
      <w:pPr>
        <w:pStyle w:val="20"/>
        <w:spacing w:after="0"/>
        <w:ind w:left="640" w:firstLine="640"/>
      </w:pPr>
    </w:p>
    <w:p w:rsidR="00B74388" w:rsidRDefault="00B74388">
      <w:pPr>
        <w:pStyle w:val="20"/>
        <w:spacing w:after="0"/>
        <w:ind w:leftChars="0" w:left="0" w:firstLineChars="0" w:firstLine="0"/>
        <w:rPr>
          <w:b/>
        </w:rPr>
      </w:pPr>
      <w:bookmarkStart w:id="74" w:name="_Toc96076069"/>
      <w:bookmarkStart w:id="75" w:name="_Toc80259128"/>
      <w:bookmarkStart w:id="76" w:name="_Toc81549485"/>
      <w:bookmarkStart w:id="77" w:name="_Toc98528565"/>
    </w:p>
    <w:p w:rsidR="00B74388" w:rsidRDefault="00B74388">
      <w:pPr>
        <w:pStyle w:val="20"/>
        <w:spacing w:after="0"/>
        <w:ind w:leftChars="0" w:left="0" w:firstLineChars="0" w:firstLine="0"/>
        <w:rPr>
          <w:b/>
        </w:rPr>
      </w:pPr>
    </w:p>
    <w:p w:rsidR="00B74388" w:rsidRDefault="00B74388">
      <w:pPr>
        <w:pStyle w:val="20"/>
        <w:spacing w:after="0"/>
        <w:ind w:leftChars="0" w:left="0" w:firstLineChars="0" w:firstLine="0"/>
        <w:rPr>
          <w:b/>
        </w:rPr>
      </w:pPr>
    </w:p>
    <w:p w:rsidR="00B74388" w:rsidRDefault="00B74388">
      <w:pPr>
        <w:pStyle w:val="20"/>
        <w:spacing w:after="0"/>
        <w:ind w:leftChars="0" w:left="0" w:firstLineChars="0" w:firstLine="0"/>
        <w:rPr>
          <w:b/>
        </w:rPr>
      </w:pPr>
    </w:p>
    <w:p w:rsidR="00B74388" w:rsidRDefault="00B74388">
      <w:pPr>
        <w:pStyle w:val="20"/>
        <w:spacing w:after="0"/>
        <w:ind w:leftChars="0" w:left="0" w:firstLineChars="0" w:firstLine="0"/>
        <w:rPr>
          <w:b/>
        </w:rPr>
      </w:pPr>
    </w:p>
    <w:p w:rsidR="00B74388" w:rsidRDefault="00B74388">
      <w:pPr>
        <w:pStyle w:val="20"/>
        <w:spacing w:after="0"/>
        <w:ind w:leftChars="0" w:left="0" w:firstLineChars="0" w:firstLine="0"/>
        <w:rPr>
          <w:b/>
        </w:rPr>
      </w:pPr>
    </w:p>
    <w:p w:rsidR="00B74388" w:rsidRDefault="00B74388">
      <w:pPr>
        <w:pStyle w:val="20"/>
        <w:spacing w:after="0"/>
        <w:ind w:leftChars="0" w:left="0" w:firstLineChars="0" w:firstLine="0"/>
        <w:rPr>
          <w:b/>
        </w:rPr>
      </w:pPr>
    </w:p>
    <w:p w:rsidR="00B74388" w:rsidRDefault="00B74388">
      <w:pPr>
        <w:pStyle w:val="20"/>
        <w:spacing w:after="0"/>
        <w:ind w:leftChars="0" w:left="0" w:firstLineChars="0" w:firstLine="0"/>
        <w:rPr>
          <w:b/>
        </w:rPr>
      </w:pPr>
    </w:p>
    <w:p w:rsidR="00B74388" w:rsidRDefault="00B74388">
      <w:pPr>
        <w:pStyle w:val="20"/>
        <w:spacing w:after="0"/>
        <w:ind w:leftChars="0" w:left="0" w:firstLineChars="0" w:firstLine="0"/>
        <w:rPr>
          <w:b/>
        </w:rPr>
      </w:pPr>
    </w:p>
    <w:p w:rsidR="00B74388" w:rsidRDefault="005E5D12">
      <w:pPr>
        <w:ind w:firstLine="643"/>
        <w:rPr>
          <w:b/>
        </w:rPr>
      </w:pPr>
      <w:r>
        <w:rPr>
          <w:rFonts w:hint="eastAsia"/>
          <w:b/>
        </w:rPr>
        <w:br w:type="page"/>
      </w:r>
    </w:p>
    <w:p w:rsidR="00B74388" w:rsidRDefault="005E5D12">
      <w:pPr>
        <w:pStyle w:val="20"/>
        <w:spacing w:after="0"/>
        <w:ind w:leftChars="0" w:left="0" w:firstLineChars="0" w:firstLine="0"/>
        <w:rPr>
          <w:rFonts w:ascii="黑体" w:eastAsia="黑体" w:hAnsi="黑体" w:cs="黑体"/>
          <w:b/>
        </w:rPr>
      </w:pPr>
      <w:r>
        <w:rPr>
          <w:rFonts w:ascii="黑体" w:eastAsia="黑体" w:hAnsi="黑体" w:cs="黑体" w:hint="eastAsia"/>
          <w:b/>
        </w:rPr>
        <w:lastRenderedPageBreak/>
        <w:t>附件之一</w:t>
      </w:r>
    </w:p>
    <w:p w:rsidR="00B74388" w:rsidRDefault="005E5D12">
      <w:pPr>
        <w:pStyle w:val="20"/>
        <w:spacing w:after="0"/>
        <w:ind w:leftChars="0" w:left="0" w:firstLineChars="0" w:firstLine="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老旧小区改造功能业态正、负面清单</w:t>
      </w:r>
    </w:p>
    <w:p w:rsidR="00B74388" w:rsidRDefault="00B74388">
      <w:pPr>
        <w:pStyle w:val="20"/>
        <w:spacing w:after="0"/>
        <w:ind w:leftChars="0" w:left="0" w:firstLineChars="0" w:firstLine="0"/>
        <w:rPr>
          <w:rFonts w:ascii="黑体" w:hAnsi="黑体"/>
        </w:rPr>
      </w:pPr>
    </w:p>
    <w:p w:rsidR="00B74388" w:rsidRDefault="005E5D12">
      <w:pPr>
        <w:pStyle w:val="20"/>
        <w:spacing w:after="0"/>
        <w:ind w:leftChars="0" w:left="0" w:firstLineChars="0" w:firstLine="0"/>
        <w:rPr>
          <w:rFonts w:ascii="黑体" w:eastAsia="黑体" w:hAnsi="黑体" w:cs="黑体"/>
        </w:rPr>
      </w:pPr>
      <w:r>
        <w:rPr>
          <w:rFonts w:ascii="黑体" w:eastAsia="黑体" w:hAnsi="黑体" w:cs="黑体" w:hint="eastAsia"/>
        </w:rPr>
        <w:t>第一条  正面清单</w:t>
      </w:r>
      <w:bookmarkEnd w:id="74"/>
      <w:bookmarkEnd w:id="75"/>
      <w:bookmarkEnd w:id="76"/>
      <w:bookmarkEnd w:id="77"/>
    </w:p>
    <w:p w:rsidR="00B74388" w:rsidRDefault="005E5D12">
      <w:pPr>
        <w:adjustRightInd w:val="0"/>
        <w:snapToGrid w:val="0"/>
        <w:ind w:firstLine="640"/>
        <w:rPr>
          <w:szCs w:val="32"/>
        </w:rPr>
      </w:pPr>
      <w:r>
        <w:rPr>
          <w:rFonts w:hint="eastAsia"/>
          <w:szCs w:val="32"/>
        </w:rPr>
        <w:t>正面清单是指对周边无负面影响，有利于老旧小区补齐设施短板、消除安全隐患、提升街区活力、打造“完整社区”的功能业态，包括：</w:t>
      </w:r>
    </w:p>
    <w:p w:rsidR="00B74388" w:rsidRDefault="005E5D12">
      <w:pPr>
        <w:adjustRightInd w:val="0"/>
        <w:snapToGrid w:val="0"/>
        <w:ind w:firstLine="640"/>
        <w:rPr>
          <w:szCs w:val="32"/>
        </w:rPr>
      </w:pPr>
      <w:r>
        <w:rPr>
          <w:rFonts w:hint="eastAsia"/>
          <w:szCs w:val="32"/>
        </w:rPr>
        <w:t>（一）增加公共服务设施及市政设施，包括：</w:t>
      </w:r>
    </w:p>
    <w:p w:rsidR="00B74388" w:rsidRDefault="005E5D12">
      <w:pPr>
        <w:adjustRightInd w:val="0"/>
        <w:snapToGrid w:val="0"/>
        <w:ind w:firstLine="643"/>
        <w:rPr>
          <w:szCs w:val="32"/>
        </w:rPr>
      </w:pPr>
      <w:r>
        <w:rPr>
          <w:rFonts w:ascii="宋体" w:eastAsia="宋体" w:hAnsi="宋体" w:cs="宋体" w:hint="eastAsia"/>
          <w:b/>
          <w:bCs/>
          <w:szCs w:val="32"/>
        </w:rPr>
        <w:t>①</w:t>
      </w:r>
      <w:r>
        <w:rPr>
          <w:rFonts w:hint="eastAsia"/>
          <w:b/>
          <w:bCs/>
          <w:szCs w:val="32"/>
        </w:rPr>
        <w:t>行政管理设施：</w:t>
      </w:r>
      <w:r>
        <w:rPr>
          <w:rFonts w:hint="eastAsia"/>
          <w:szCs w:val="32"/>
        </w:rPr>
        <w:t>居委管理中心（含社区居委会、党群服务站、社区议事厅、社区服务站、司法所（公共法律服务工作站）等）、物业管理处、家庭综合服务中心等；</w:t>
      </w:r>
    </w:p>
    <w:p w:rsidR="00B74388" w:rsidRDefault="005E5D12">
      <w:pPr>
        <w:ind w:firstLine="643"/>
      </w:pPr>
      <w:r>
        <w:rPr>
          <w:rFonts w:ascii="宋体" w:eastAsia="宋体" w:hAnsi="宋体" w:cs="宋体" w:hint="eastAsia"/>
          <w:b/>
        </w:rPr>
        <w:t>②</w:t>
      </w:r>
      <w:r>
        <w:rPr>
          <w:rFonts w:hint="eastAsia"/>
          <w:b/>
        </w:rPr>
        <w:t>养老服务设施：</w:t>
      </w:r>
      <w:r>
        <w:rPr>
          <w:rFonts w:hint="eastAsia"/>
        </w:rPr>
        <w:t>综合养老服务中心（颐康中心）、社区养老服务机构（颐康服务站）、社区日间照料中心、星光老年之家、老年大学教学点、长者饭堂等；</w:t>
      </w:r>
    </w:p>
    <w:p w:rsidR="00B74388" w:rsidRDefault="005E5D12">
      <w:pPr>
        <w:ind w:firstLine="643"/>
      </w:pPr>
      <w:r>
        <w:rPr>
          <w:rFonts w:ascii="宋体" w:eastAsia="宋体" w:hAnsi="宋体" w:cs="宋体" w:hint="eastAsia"/>
          <w:b/>
        </w:rPr>
        <w:t>③</w:t>
      </w:r>
      <w:r>
        <w:rPr>
          <w:rFonts w:hint="eastAsia"/>
          <w:b/>
        </w:rPr>
        <w:t>医疗服务设施：</w:t>
      </w:r>
      <w:r>
        <w:rPr>
          <w:rFonts w:hint="eastAsia"/>
        </w:rPr>
        <w:t>社区卫生服务中心、社区卫生服务站、护理站等；</w:t>
      </w:r>
    </w:p>
    <w:p w:rsidR="00B74388" w:rsidRDefault="005E5D12">
      <w:pPr>
        <w:ind w:firstLine="643"/>
      </w:pPr>
      <w:r>
        <w:rPr>
          <w:rFonts w:ascii="宋体" w:eastAsia="宋体" w:hAnsi="宋体" w:cs="宋体" w:hint="eastAsia"/>
          <w:b/>
        </w:rPr>
        <w:t>④</w:t>
      </w:r>
      <w:r>
        <w:rPr>
          <w:rFonts w:hint="eastAsia"/>
          <w:b/>
        </w:rPr>
        <w:t>教育设施：</w:t>
      </w:r>
      <w:r>
        <w:rPr>
          <w:rFonts w:hint="eastAsia"/>
        </w:rPr>
        <w:t>托儿所（日托中心）、幼儿园等；</w:t>
      </w:r>
    </w:p>
    <w:p w:rsidR="00B74388" w:rsidRDefault="005E5D12">
      <w:pPr>
        <w:ind w:firstLine="643"/>
      </w:pPr>
      <w:r>
        <w:rPr>
          <w:rFonts w:ascii="宋体" w:eastAsia="宋体" w:hAnsi="宋体" w:cs="宋体" w:hint="eastAsia"/>
          <w:b/>
        </w:rPr>
        <w:t>⑤</w:t>
      </w:r>
      <w:r>
        <w:rPr>
          <w:rFonts w:hint="eastAsia"/>
          <w:b/>
        </w:rPr>
        <w:t>文化设施：</w:t>
      </w:r>
      <w:r>
        <w:rPr>
          <w:rFonts w:ascii="仿宋" w:cs="仿宋" w:hint="eastAsia"/>
          <w:szCs w:val="32"/>
        </w:rPr>
        <w:t>社区文化活动中心、</w:t>
      </w:r>
      <w:r>
        <w:rPr>
          <w:rFonts w:hint="eastAsia"/>
        </w:rPr>
        <w:t>文化站（室）、社区少年宫、社区学校、社区图书馆、社区博物馆等；</w:t>
      </w:r>
    </w:p>
    <w:p w:rsidR="00B74388" w:rsidRDefault="005E5D12">
      <w:pPr>
        <w:ind w:firstLine="643"/>
      </w:pPr>
      <w:r>
        <w:rPr>
          <w:rFonts w:ascii="宋体" w:eastAsia="宋体" w:hAnsi="宋体" w:cs="宋体" w:hint="eastAsia"/>
          <w:b/>
        </w:rPr>
        <w:t>⑥</w:t>
      </w:r>
      <w:r>
        <w:rPr>
          <w:rFonts w:hint="eastAsia"/>
          <w:b/>
        </w:rPr>
        <w:t>体育健身设施：</w:t>
      </w:r>
      <w:r>
        <w:rPr>
          <w:rFonts w:ascii="仿宋" w:cs="仿宋" w:hint="eastAsia"/>
          <w:szCs w:val="32"/>
        </w:rPr>
        <w:t>社区体育中心、社区全民健身中心、</w:t>
      </w:r>
      <w:r>
        <w:rPr>
          <w:rFonts w:hint="eastAsia"/>
        </w:rPr>
        <w:t>群众性体育运动场地、居民健身场所等；</w:t>
      </w:r>
    </w:p>
    <w:p w:rsidR="00B74388" w:rsidRDefault="005E5D12">
      <w:pPr>
        <w:ind w:firstLine="643"/>
      </w:pPr>
      <w:r>
        <w:rPr>
          <w:rFonts w:ascii="宋体" w:eastAsia="宋体" w:hAnsi="宋体" w:cs="宋体" w:hint="eastAsia"/>
          <w:b/>
        </w:rPr>
        <w:t>⑦</w:t>
      </w:r>
      <w:r>
        <w:rPr>
          <w:rFonts w:hint="eastAsia"/>
          <w:b/>
        </w:rPr>
        <w:t>市政公用设施：</w:t>
      </w:r>
      <w:r>
        <w:rPr>
          <w:rFonts w:hint="eastAsia"/>
        </w:rPr>
        <w:t>停车及充电设施、智慧服务设施、安防设施、垃圾收集点、可回收物便民回收点、公共厕所等。</w:t>
      </w:r>
    </w:p>
    <w:p w:rsidR="00B74388" w:rsidRDefault="005E5D12">
      <w:pPr>
        <w:ind w:firstLine="640"/>
        <w:rPr>
          <w:rFonts w:ascii="仿宋" w:cs="仿宋"/>
          <w:szCs w:val="32"/>
        </w:rPr>
      </w:pPr>
      <w:r>
        <w:rPr>
          <w:rFonts w:hint="eastAsia"/>
        </w:rPr>
        <w:t>（二）增加便民商业设施，包括：培训机构、药店、理</w:t>
      </w:r>
      <w:r>
        <w:rPr>
          <w:rFonts w:hint="eastAsia"/>
        </w:rPr>
        <w:lastRenderedPageBreak/>
        <w:t>疗中心、便利店、杂货店、家电及生活用具维修点、超市、</w:t>
      </w:r>
      <w:r>
        <w:rPr>
          <w:rFonts w:ascii="仿宋_GB2312" w:hAnsi="仿宋" w:hint="eastAsia"/>
        </w:rPr>
        <w:t>轻餐饮（指不使用天然气和煤气的餐饮商铺，如咖啡馆、茶室等）、洗衣</w:t>
      </w:r>
      <w:r>
        <w:rPr>
          <w:rFonts w:hint="eastAsia"/>
        </w:rPr>
        <w:t>店、家政服务点、快递送达设施、书店、</w:t>
      </w:r>
      <w:r>
        <w:rPr>
          <w:rFonts w:ascii="仿宋" w:cs="仿宋" w:hint="eastAsia"/>
          <w:szCs w:val="32"/>
        </w:rPr>
        <w:t>理发店</w:t>
      </w:r>
      <w:r>
        <w:rPr>
          <w:rFonts w:hint="eastAsia"/>
        </w:rPr>
        <w:t>、</w:t>
      </w:r>
      <w:r>
        <w:rPr>
          <w:rFonts w:ascii="仿宋" w:cs="仿宋" w:hint="eastAsia"/>
          <w:szCs w:val="32"/>
        </w:rPr>
        <w:t>电信营业场所、银行营业网点等。</w:t>
      </w:r>
    </w:p>
    <w:p w:rsidR="00B74388" w:rsidRDefault="005E5D12">
      <w:pPr>
        <w:adjustRightInd w:val="0"/>
        <w:snapToGrid w:val="0"/>
        <w:ind w:firstLine="640"/>
        <w:rPr>
          <w:szCs w:val="32"/>
        </w:rPr>
      </w:pPr>
      <w:r>
        <w:rPr>
          <w:rFonts w:hint="eastAsia"/>
          <w:szCs w:val="32"/>
        </w:rPr>
        <w:t>（三）调整既有商业建筑内部业态或调整办公建筑内部业态。</w:t>
      </w:r>
    </w:p>
    <w:p w:rsidR="00B74388" w:rsidRDefault="005E5D12">
      <w:pPr>
        <w:adjustRightInd w:val="0"/>
        <w:snapToGrid w:val="0"/>
        <w:ind w:firstLine="640"/>
        <w:rPr>
          <w:szCs w:val="32"/>
        </w:rPr>
      </w:pPr>
      <w:r>
        <w:rPr>
          <w:rFonts w:hint="eastAsia"/>
        </w:rPr>
        <w:t>（四）</w:t>
      </w:r>
      <w:r>
        <w:rPr>
          <w:rFonts w:hint="eastAsia"/>
          <w:szCs w:val="32"/>
        </w:rPr>
        <w:t>旧城区范围内的商业、办公（行政办公除外）功能互换。如：商店、办公、人才公寓、酒店、旅馆、超市、手工艺品制作、培训机构、健身房、金融保险服务、医疗机构、餐饮等的互换。</w:t>
      </w:r>
    </w:p>
    <w:p w:rsidR="00B74388" w:rsidRDefault="005E5D12">
      <w:pPr>
        <w:ind w:firstLine="640"/>
      </w:pPr>
      <w:r>
        <w:rPr>
          <w:rFonts w:hint="eastAsia"/>
          <w:szCs w:val="32"/>
        </w:rPr>
        <w:t>（五）</w:t>
      </w:r>
      <w:r>
        <w:rPr>
          <w:rFonts w:hint="eastAsia"/>
        </w:rPr>
        <w:t>利用住宅建筑</w:t>
      </w:r>
      <w:r>
        <w:rPr>
          <w:rFonts w:hint="eastAsia"/>
          <w:szCs w:val="32"/>
        </w:rPr>
        <w:t>增加</w:t>
      </w:r>
      <w:r>
        <w:rPr>
          <w:rFonts w:hint="eastAsia"/>
        </w:rPr>
        <w:t>不产生光、电、音等干扰的创新、创业功能业态，包括：文化创意、咨询设计、创客空间、电子商务、小型民宿（≤</w:t>
      </w:r>
      <w:r>
        <w:rPr>
          <w:rFonts w:hint="eastAsia"/>
        </w:rPr>
        <w:t>14</w:t>
      </w:r>
      <w:r>
        <w:rPr>
          <w:rFonts w:hint="eastAsia"/>
        </w:rPr>
        <w:t>间房）等。</w:t>
      </w:r>
    </w:p>
    <w:p w:rsidR="00B74388" w:rsidRDefault="005E5D12">
      <w:pPr>
        <w:adjustRightInd w:val="0"/>
        <w:snapToGrid w:val="0"/>
        <w:ind w:firstLine="640"/>
      </w:pPr>
      <w:r>
        <w:rPr>
          <w:rFonts w:hint="eastAsia"/>
        </w:rPr>
        <w:t>（六）利用住宅建筑改为公寓。</w:t>
      </w:r>
    </w:p>
    <w:p w:rsidR="00B74388" w:rsidRDefault="005E5D12">
      <w:pPr>
        <w:adjustRightInd w:val="0"/>
        <w:snapToGrid w:val="0"/>
        <w:ind w:firstLine="640"/>
      </w:pPr>
      <w:r>
        <w:rPr>
          <w:rFonts w:hint="eastAsia"/>
        </w:rPr>
        <w:t>（七）非住宅建筑改为保障性租赁住房。</w:t>
      </w:r>
    </w:p>
    <w:p w:rsidR="00B74388" w:rsidRDefault="005E5D12">
      <w:pPr>
        <w:adjustRightInd w:val="0"/>
        <w:snapToGrid w:val="0"/>
        <w:ind w:firstLine="640"/>
      </w:pPr>
      <w:r>
        <w:rPr>
          <w:rFonts w:hint="eastAsia"/>
        </w:rPr>
        <w:t>住宅建筑改为非住宅功能的（人才公寓除外），应当在面向开敞空间、临生活性主次干道的建筑裙楼或三层以下布局。</w:t>
      </w:r>
      <w:bookmarkStart w:id="78" w:name="_Toc80259129"/>
      <w:r>
        <w:rPr>
          <w:rFonts w:ascii="仿宋_GB2312" w:hAnsi="仿宋" w:hint="eastAsia"/>
        </w:rPr>
        <w:t>位于历史文化街区及其建设控制地带的住宅建筑可整栋转为非住宅功能。</w:t>
      </w:r>
    </w:p>
    <w:p w:rsidR="00B74388" w:rsidRDefault="005E5D12">
      <w:pPr>
        <w:pStyle w:val="20"/>
        <w:spacing w:after="0"/>
        <w:ind w:leftChars="0" w:left="0" w:firstLineChars="0" w:firstLine="0"/>
        <w:rPr>
          <w:rFonts w:ascii="黑体" w:eastAsia="黑体" w:hAnsi="黑体" w:cs="黑体"/>
          <w:lang w:eastAsia="zh-TW"/>
        </w:rPr>
      </w:pPr>
      <w:bookmarkStart w:id="79" w:name="_Toc98528566"/>
      <w:bookmarkStart w:id="80" w:name="_Toc96076070"/>
      <w:bookmarkStart w:id="81" w:name="_Toc81549486"/>
      <w:r>
        <w:rPr>
          <w:rFonts w:ascii="黑体" w:eastAsia="黑体" w:hAnsi="黑体" w:cs="黑体" w:hint="eastAsia"/>
        </w:rPr>
        <w:t>第二条  负面清单</w:t>
      </w:r>
      <w:bookmarkEnd w:id="78"/>
      <w:bookmarkEnd w:id="79"/>
      <w:bookmarkEnd w:id="80"/>
      <w:bookmarkEnd w:id="81"/>
    </w:p>
    <w:p w:rsidR="00B74388" w:rsidRDefault="005E5D12">
      <w:pPr>
        <w:ind w:firstLine="640"/>
      </w:pPr>
      <w:r>
        <w:rPr>
          <w:rFonts w:hint="eastAsia"/>
        </w:rPr>
        <w:t>负面清单是指严重影响周边环境及安全的功能业态，包括：</w:t>
      </w:r>
    </w:p>
    <w:p w:rsidR="00B74388" w:rsidRDefault="005E5D12">
      <w:pPr>
        <w:ind w:firstLine="640"/>
      </w:pPr>
      <w:r>
        <w:rPr>
          <w:rFonts w:hint="eastAsia"/>
        </w:rPr>
        <w:t>（一）非住宅建筑改为住宅（保障性租赁住房除外）；</w:t>
      </w:r>
    </w:p>
    <w:p w:rsidR="00B74388" w:rsidRDefault="005E5D12">
      <w:pPr>
        <w:ind w:firstLine="640"/>
      </w:pPr>
      <w:r>
        <w:rPr>
          <w:rFonts w:hint="eastAsia"/>
        </w:rPr>
        <w:t>（二）有安全、噪声、光、油烟污染问题、影响周边环</w:t>
      </w:r>
      <w:r>
        <w:rPr>
          <w:rFonts w:hint="eastAsia"/>
        </w:rPr>
        <w:lastRenderedPageBreak/>
        <w:t>境的功能，如：物流配送站、生产加工、</w:t>
      </w:r>
      <w:r>
        <w:rPr>
          <w:rFonts w:hint="eastAsia"/>
        </w:rPr>
        <w:t>KTV</w:t>
      </w:r>
      <w:r>
        <w:rPr>
          <w:rFonts w:hint="eastAsia"/>
        </w:rPr>
        <w:t>、酒吧、夜总会等；</w:t>
      </w:r>
    </w:p>
    <w:p w:rsidR="00B74388" w:rsidRDefault="005E5D12">
      <w:pPr>
        <w:ind w:firstLine="640"/>
      </w:pPr>
      <w:r>
        <w:rPr>
          <w:rFonts w:hint="eastAsia"/>
        </w:rPr>
        <w:t>（三）无法商住分离的区域用作明火餐饮；</w:t>
      </w:r>
    </w:p>
    <w:p w:rsidR="00B74388" w:rsidRDefault="005E5D12">
      <w:pPr>
        <w:ind w:firstLine="640"/>
      </w:pPr>
      <w:r>
        <w:rPr>
          <w:rFonts w:hint="eastAsia"/>
        </w:rPr>
        <w:t>（四）有易燃易爆等安全危险的功能，如：危化品生产和加工存储、危废存储等；</w:t>
      </w:r>
      <w:r>
        <w:t xml:space="preserve"> </w:t>
      </w:r>
    </w:p>
    <w:p w:rsidR="00B74388" w:rsidRDefault="005E5D12">
      <w:pPr>
        <w:ind w:firstLine="640"/>
      </w:pPr>
      <w:r>
        <w:rPr>
          <w:rFonts w:hint="eastAsia"/>
        </w:rPr>
        <w:t>（五）其它影响公共安全和环境，以及法律法规明确规定禁止的情形。</w:t>
      </w:r>
    </w:p>
    <w:p w:rsidR="00B74388" w:rsidRDefault="00B74388">
      <w:pPr>
        <w:pStyle w:val="af4"/>
        <w:spacing w:line="560" w:lineRule="exact"/>
        <w:rPr>
          <w:b/>
        </w:rPr>
      </w:pPr>
    </w:p>
    <w:sectPr w:rsidR="00B7438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317" w:rsidRDefault="00D65317">
      <w:pPr>
        <w:spacing w:line="240" w:lineRule="auto"/>
        <w:ind w:firstLine="640"/>
      </w:pPr>
      <w:r>
        <w:separator/>
      </w:r>
    </w:p>
  </w:endnote>
  <w:endnote w:type="continuationSeparator" w:id="0">
    <w:p w:rsidR="00D65317" w:rsidRDefault="00D6531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藫冸牀.">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88" w:rsidRDefault="00B74388">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88" w:rsidRDefault="005E5D12">
    <w:pPr>
      <w:pStyle w:val="aa"/>
      <w:spacing w:after="120"/>
      <w:ind w:firstLine="360"/>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01243822"/>
                          </w:sdtPr>
                          <w:sdtEndPr/>
                          <w:sdtContent>
                            <w:p w:rsidR="00B74388" w:rsidRDefault="005E5D12">
                              <w:pPr>
                                <w:pStyle w:val="aa"/>
                                <w:spacing w:after="120"/>
                                <w:ind w:firstLine="360"/>
                                <w:jc w:val="center"/>
                              </w:pPr>
                              <w:r>
                                <w:fldChar w:fldCharType="begin"/>
                              </w:r>
                              <w:r>
                                <w:instrText>PAGE   \* MERGEFORMAT</w:instrText>
                              </w:r>
                              <w:r>
                                <w:fldChar w:fldCharType="separate"/>
                              </w:r>
                              <w:r w:rsidR="00F77F4B" w:rsidRPr="00F77F4B">
                                <w:rPr>
                                  <w:noProof/>
                                  <w:lang w:val="zh-CN"/>
                                </w:rPr>
                                <w:t>2</w:t>
                              </w:r>
                              <w:r>
                                <w:fldChar w:fldCharType="end"/>
                              </w:r>
                            </w:p>
                          </w:sdtContent>
                        </w:sdt>
                        <w:p w:rsidR="00B74388" w:rsidRDefault="00B74388">
                          <w:pPr>
                            <w:pStyle w:val="20"/>
                            <w:ind w:left="640"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201243822"/>
                    </w:sdtPr>
                    <w:sdtEndPr/>
                    <w:sdtContent>
                      <w:p w:rsidR="00B74388" w:rsidRDefault="005E5D12">
                        <w:pPr>
                          <w:pStyle w:val="aa"/>
                          <w:spacing w:after="120"/>
                          <w:ind w:firstLine="360"/>
                          <w:jc w:val="center"/>
                        </w:pPr>
                        <w:r>
                          <w:fldChar w:fldCharType="begin"/>
                        </w:r>
                        <w:r>
                          <w:instrText>PAGE   \* MERGEFORMAT</w:instrText>
                        </w:r>
                        <w:r>
                          <w:fldChar w:fldCharType="separate"/>
                        </w:r>
                        <w:r w:rsidR="00F77F4B" w:rsidRPr="00F77F4B">
                          <w:rPr>
                            <w:noProof/>
                            <w:lang w:val="zh-CN"/>
                          </w:rPr>
                          <w:t>2</w:t>
                        </w:r>
                        <w:r>
                          <w:fldChar w:fldCharType="end"/>
                        </w:r>
                      </w:p>
                    </w:sdtContent>
                  </w:sdt>
                  <w:p w:rsidR="00B74388" w:rsidRDefault="00B74388">
                    <w:pPr>
                      <w:pStyle w:val="20"/>
                      <w:ind w:left="640" w:firstLine="640"/>
                    </w:pPr>
                  </w:p>
                </w:txbxContent>
              </v:textbox>
              <w10:wrap anchorx="margin"/>
            </v:shape>
          </w:pict>
        </mc:Fallback>
      </mc:AlternateContent>
    </w:r>
  </w:p>
  <w:p w:rsidR="00B74388" w:rsidRDefault="00B74388">
    <w:pPr>
      <w:pStyle w:val="aa"/>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88" w:rsidRDefault="00B74388">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317" w:rsidRDefault="00D65317">
      <w:pPr>
        <w:spacing w:line="240" w:lineRule="auto"/>
        <w:ind w:firstLine="640"/>
      </w:pPr>
      <w:r>
        <w:separator/>
      </w:r>
    </w:p>
  </w:footnote>
  <w:footnote w:type="continuationSeparator" w:id="0">
    <w:p w:rsidR="00D65317" w:rsidRDefault="00D65317">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88" w:rsidRDefault="00B74388">
    <w:pPr>
      <w:pStyle w:val="ab"/>
      <w:spacing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88" w:rsidRDefault="00B74388">
    <w:pPr>
      <w:pStyle w:val="ab"/>
      <w:pBdr>
        <w:bottom w:val="none" w:sz="0" w:space="0" w:color="auto"/>
      </w:pBdr>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88" w:rsidRDefault="00B74388">
    <w:pPr>
      <w:pStyle w:val="ab"/>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466D2"/>
    <w:multiLevelType w:val="multilevel"/>
    <w:tmpl w:val="10C466D2"/>
    <w:lvl w:ilvl="0">
      <w:start w:val="1"/>
      <w:numFmt w:val="chineseCountingThousand"/>
      <w:pStyle w:val="1"/>
      <w:lvlText w:val="第%1章"/>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CE304A"/>
    <w:multiLevelType w:val="multilevel"/>
    <w:tmpl w:val="2FCE304A"/>
    <w:lvl w:ilvl="0">
      <w:start w:val="1"/>
      <w:numFmt w:val="chineseCountingThousand"/>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3FD4758A"/>
    <w:multiLevelType w:val="multilevel"/>
    <w:tmpl w:val="3FD4758A"/>
    <w:lvl w:ilvl="0">
      <w:start w:val="1"/>
      <w:numFmt w:val="chineseCountingThousand"/>
      <w:suff w:val="space"/>
      <w:lvlText w:val="第%1条"/>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1FA52A9"/>
    <w:multiLevelType w:val="multilevel"/>
    <w:tmpl w:val="41FA52A9"/>
    <w:lvl w:ilvl="0">
      <w:start w:val="1"/>
      <w:numFmt w:val="chineseCountingThousand"/>
      <w:pStyle w:val="2"/>
      <w:suff w:val="space"/>
      <w:lvlText w:val="第%1条 "/>
      <w:lvlJc w:val="left"/>
      <w:pPr>
        <w:ind w:left="1130" w:hanging="420"/>
      </w:pPr>
      <w:rPr>
        <w:rFonts w:hint="eastAsia"/>
      </w:rPr>
    </w:lvl>
    <w:lvl w:ilvl="1">
      <w:start w:val="1"/>
      <w:numFmt w:val="lowerLetter"/>
      <w:lvlText w:val="%2)"/>
      <w:lvlJc w:val="left"/>
      <w:pPr>
        <w:ind w:left="-660" w:hanging="420"/>
      </w:pPr>
    </w:lvl>
    <w:lvl w:ilvl="2">
      <w:start w:val="1"/>
      <w:numFmt w:val="lowerRoman"/>
      <w:lvlText w:val="%3."/>
      <w:lvlJc w:val="right"/>
      <w:pPr>
        <w:ind w:left="-240" w:hanging="420"/>
      </w:pPr>
    </w:lvl>
    <w:lvl w:ilvl="3">
      <w:start w:val="1"/>
      <w:numFmt w:val="decimal"/>
      <w:lvlText w:val="%4."/>
      <w:lvlJc w:val="left"/>
      <w:pPr>
        <w:ind w:left="180" w:hanging="420"/>
      </w:pPr>
    </w:lvl>
    <w:lvl w:ilvl="4">
      <w:start w:val="1"/>
      <w:numFmt w:val="lowerLetter"/>
      <w:lvlText w:val="%5)"/>
      <w:lvlJc w:val="left"/>
      <w:pPr>
        <w:ind w:left="600" w:hanging="420"/>
      </w:pPr>
    </w:lvl>
    <w:lvl w:ilvl="5">
      <w:start w:val="1"/>
      <w:numFmt w:val="lowerRoman"/>
      <w:lvlText w:val="%6."/>
      <w:lvlJc w:val="right"/>
      <w:pPr>
        <w:ind w:left="1020" w:hanging="420"/>
      </w:pPr>
    </w:lvl>
    <w:lvl w:ilvl="6">
      <w:start w:val="1"/>
      <w:numFmt w:val="decimal"/>
      <w:lvlText w:val="%7."/>
      <w:lvlJc w:val="left"/>
      <w:pPr>
        <w:ind w:left="1440" w:hanging="420"/>
      </w:pPr>
    </w:lvl>
    <w:lvl w:ilvl="7">
      <w:start w:val="1"/>
      <w:numFmt w:val="lowerLetter"/>
      <w:lvlText w:val="%8)"/>
      <w:lvlJc w:val="left"/>
      <w:pPr>
        <w:ind w:left="1860" w:hanging="420"/>
      </w:pPr>
    </w:lvl>
    <w:lvl w:ilvl="8">
      <w:start w:val="1"/>
      <w:numFmt w:val="lowerRoman"/>
      <w:lvlText w:val="%9."/>
      <w:lvlJc w:val="right"/>
      <w:pPr>
        <w:ind w:left="22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12"/>
    <w:rsid w:val="0000117E"/>
    <w:rsid w:val="000044D9"/>
    <w:rsid w:val="000123EC"/>
    <w:rsid w:val="000142F3"/>
    <w:rsid w:val="000170A4"/>
    <w:rsid w:val="00022BDE"/>
    <w:rsid w:val="00031C0C"/>
    <w:rsid w:val="00033071"/>
    <w:rsid w:val="00033B7B"/>
    <w:rsid w:val="000342C3"/>
    <w:rsid w:val="000347E6"/>
    <w:rsid w:val="000420A3"/>
    <w:rsid w:val="00043473"/>
    <w:rsid w:val="00043502"/>
    <w:rsid w:val="00047067"/>
    <w:rsid w:val="0005315F"/>
    <w:rsid w:val="00055AAC"/>
    <w:rsid w:val="000567EC"/>
    <w:rsid w:val="00061F0E"/>
    <w:rsid w:val="00064001"/>
    <w:rsid w:val="000649DC"/>
    <w:rsid w:val="000674CF"/>
    <w:rsid w:val="0006765E"/>
    <w:rsid w:val="0007517A"/>
    <w:rsid w:val="00076687"/>
    <w:rsid w:val="000777AC"/>
    <w:rsid w:val="00081771"/>
    <w:rsid w:val="000825BC"/>
    <w:rsid w:val="00086BA1"/>
    <w:rsid w:val="000918C0"/>
    <w:rsid w:val="00092BB9"/>
    <w:rsid w:val="000A2567"/>
    <w:rsid w:val="000B2178"/>
    <w:rsid w:val="000B5008"/>
    <w:rsid w:val="000B7EAA"/>
    <w:rsid w:val="000C0858"/>
    <w:rsid w:val="000C08C1"/>
    <w:rsid w:val="000C2952"/>
    <w:rsid w:val="000C546E"/>
    <w:rsid w:val="000C5663"/>
    <w:rsid w:val="000C5D41"/>
    <w:rsid w:val="000C60C3"/>
    <w:rsid w:val="000D0112"/>
    <w:rsid w:val="000D6A64"/>
    <w:rsid w:val="000D6A9A"/>
    <w:rsid w:val="000E2169"/>
    <w:rsid w:val="000E2BB0"/>
    <w:rsid w:val="000E4503"/>
    <w:rsid w:val="000E45AE"/>
    <w:rsid w:val="000F3D67"/>
    <w:rsid w:val="000F6620"/>
    <w:rsid w:val="00102309"/>
    <w:rsid w:val="00102EB0"/>
    <w:rsid w:val="00104014"/>
    <w:rsid w:val="00105407"/>
    <w:rsid w:val="00107D9E"/>
    <w:rsid w:val="00111F24"/>
    <w:rsid w:val="00113A65"/>
    <w:rsid w:val="00116078"/>
    <w:rsid w:val="00121F0A"/>
    <w:rsid w:val="00130F42"/>
    <w:rsid w:val="00131D58"/>
    <w:rsid w:val="00136005"/>
    <w:rsid w:val="00137B19"/>
    <w:rsid w:val="00145090"/>
    <w:rsid w:val="0014572E"/>
    <w:rsid w:val="00146253"/>
    <w:rsid w:val="00151CFF"/>
    <w:rsid w:val="0015374F"/>
    <w:rsid w:val="00155DED"/>
    <w:rsid w:val="00156C04"/>
    <w:rsid w:val="00157D77"/>
    <w:rsid w:val="00160B90"/>
    <w:rsid w:val="00161AF7"/>
    <w:rsid w:val="0016330D"/>
    <w:rsid w:val="001840F2"/>
    <w:rsid w:val="0018498D"/>
    <w:rsid w:val="001906FA"/>
    <w:rsid w:val="001945B2"/>
    <w:rsid w:val="001A0B06"/>
    <w:rsid w:val="001A3222"/>
    <w:rsid w:val="001A4120"/>
    <w:rsid w:val="001A4505"/>
    <w:rsid w:val="001A5B33"/>
    <w:rsid w:val="001A72F6"/>
    <w:rsid w:val="001A7BEC"/>
    <w:rsid w:val="001B13DE"/>
    <w:rsid w:val="001B1A90"/>
    <w:rsid w:val="001C0314"/>
    <w:rsid w:val="001C1EBD"/>
    <w:rsid w:val="001E6F33"/>
    <w:rsid w:val="001F022B"/>
    <w:rsid w:val="001F15B4"/>
    <w:rsid w:val="001F2638"/>
    <w:rsid w:val="001F4FAD"/>
    <w:rsid w:val="00205560"/>
    <w:rsid w:val="002100AD"/>
    <w:rsid w:val="00214F8A"/>
    <w:rsid w:val="0022349D"/>
    <w:rsid w:val="0022471D"/>
    <w:rsid w:val="00224AC1"/>
    <w:rsid w:val="00224BFE"/>
    <w:rsid w:val="002311C8"/>
    <w:rsid w:val="002312F8"/>
    <w:rsid w:val="00234F32"/>
    <w:rsid w:val="00237B5C"/>
    <w:rsid w:val="00237F20"/>
    <w:rsid w:val="00242532"/>
    <w:rsid w:val="00247DB3"/>
    <w:rsid w:val="00252A0A"/>
    <w:rsid w:val="00252E82"/>
    <w:rsid w:val="00253169"/>
    <w:rsid w:val="00254036"/>
    <w:rsid w:val="002605BA"/>
    <w:rsid w:val="002605CC"/>
    <w:rsid w:val="00265D3F"/>
    <w:rsid w:val="00277859"/>
    <w:rsid w:val="00282AD1"/>
    <w:rsid w:val="00284C99"/>
    <w:rsid w:val="002858B7"/>
    <w:rsid w:val="002927BA"/>
    <w:rsid w:val="00292B69"/>
    <w:rsid w:val="00293557"/>
    <w:rsid w:val="00295E0B"/>
    <w:rsid w:val="0029650B"/>
    <w:rsid w:val="00297302"/>
    <w:rsid w:val="002A429B"/>
    <w:rsid w:val="002B36F6"/>
    <w:rsid w:val="002B3762"/>
    <w:rsid w:val="002B5A6C"/>
    <w:rsid w:val="002B5F03"/>
    <w:rsid w:val="002C4455"/>
    <w:rsid w:val="002C597C"/>
    <w:rsid w:val="002D60E9"/>
    <w:rsid w:val="002E1FB7"/>
    <w:rsid w:val="002E5E28"/>
    <w:rsid w:val="002E63D8"/>
    <w:rsid w:val="002F03AC"/>
    <w:rsid w:val="002F33EA"/>
    <w:rsid w:val="002F34A3"/>
    <w:rsid w:val="002F47F6"/>
    <w:rsid w:val="00302BB4"/>
    <w:rsid w:val="003040F6"/>
    <w:rsid w:val="00310283"/>
    <w:rsid w:val="003104C8"/>
    <w:rsid w:val="0031142F"/>
    <w:rsid w:val="00312ABE"/>
    <w:rsid w:val="00320BFC"/>
    <w:rsid w:val="00321E79"/>
    <w:rsid w:val="00326A44"/>
    <w:rsid w:val="003277E4"/>
    <w:rsid w:val="00330D12"/>
    <w:rsid w:val="0033378D"/>
    <w:rsid w:val="00333DDC"/>
    <w:rsid w:val="0033627E"/>
    <w:rsid w:val="00340609"/>
    <w:rsid w:val="003447C2"/>
    <w:rsid w:val="003467B9"/>
    <w:rsid w:val="00350F35"/>
    <w:rsid w:val="0035185C"/>
    <w:rsid w:val="0036465A"/>
    <w:rsid w:val="003661B0"/>
    <w:rsid w:val="00367912"/>
    <w:rsid w:val="00370717"/>
    <w:rsid w:val="003711E8"/>
    <w:rsid w:val="003744CC"/>
    <w:rsid w:val="00381D6C"/>
    <w:rsid w:val="0038484D"/>
    <w:rsid w:val="00385CDA"/>
    <w:rsid w:val="0039042E"/>
    <w:rsid w:val="0039063C"/>
    <w:rsid w:val="00392102"/>
    <w:rsid w:val="003941BE"/>
    <w:rsid w:val="00396A3C"/>
    <w:rsid w:val="00397CB9"/>
    <w:rsid w:val="003A0FEC"/>
    <w:rsid w:val="003A62CE"/>
    <w:rsid w:val="003A722B"/>
    <w:rsid w:val="003B2CC5"/>
    <w:rsid w:val="003B3B48"/>
    <w:rsid w:val="003B714E"/>
    <w:rsid w:val="003C050D"/>
    <w:rsid w:val="003C1EEB"/>
    <w:rsid w:val="003C268A"/>
    <w:rsid w:val="003D2C80"/>
    <w:rsid w:val="003D714D"/>
    <w:rsid w:val="003E1145"/>
    <w:rsid w:val="003E71F3"/>
    <w:rsid w:val="003F0EF2"/>
    <w:rsid w:val="003F7B42"/>
    <w:rsid w:val="00402021"/>
    <w:rsid w:val="004022A3"/>
    <w:rsid w:val="00402F21"/>
    <w:rsid w:val="0040493D"/>
    <w:rsid w:val="00405AA5"/>
    <w:rsid w:val="00416069"/>
    <w:rsid w:val="00422176"/>
    <w:rsid w:val="0042312B"/>
    <w:rsid w:val="004318DE"/>
    <w:rsid w:val="00433FE3"/>
    <w:rsid w:val="004409D2"/>
    <w:rsid w:val="00440BD8"/>
    <w:rsid w:val="00441080"/>
    <w:rsid w:val="00441453"/>
    <w:rsid w:val="00443FFE"/>
    <w:rsid w:val="00466A51"/>
    <w:rsid w:val="00471789"/>
    <w:rsid w:val="00484022"/>
    <w:rsid w:val="00485F45"/>
    <w:rsid w:val="004B50A8"/>
    <w:rsid w:val="004B598F"/>
    <w:rsid w:val="004C3112"/>
    <w:rsid w:val="004C5000"/>
    <w:rsid w:val="004C64AA"/>
    <w:rsid w:val="004D306B"/>
    <w:rsid w:val="004D797B"/>
    <w:rsid w:val="004E4D7C"/>
    <w:rsid w:val="004E77E5"/>
    <w:rsid w:val="004F2846"/>
    <w:rsid w:val="004F35F0"/>
    <w:rsid w:val="004F3D16"/>
    <w:rsid w:val="004F4822"/>
    <w:rsid w:val="00502611"/>
    <w:rsid w:val="005030AE"/>
    <w:rsid w:val="005040C7"/>
    <w:rsid w:val="00504E1E"/>
    <w:rsid w:val="00507DAD"/>
    <w:rsid w:val="0051203E"/>
    <w:rsid w:val="0051374D"/>
    <w:rsid w:val="0051571B"/>
    <w:rsid w:val="00523DD4"/>
    <w:rsid w:val="00523F77"/>
    <w:rsid w:val="00525646"/>
    <w:rsid w:val="00531D91"/>
    <w:rsid w:val="00532264"/>
    <w:rsid w:val="00534C65"/>
    <w:rsid w:val="00537466"/>
    <w:rsid w:val="00542829"/>
    <w:rsid w:val="0055023E"/>
    <w:rsid w:val="00551AB5"/>
    <w:rsid w:val="0055514E"/>
    <w:rsid w:val="00555DCA"/>
    <w:rsid w:val="00555F1C"/>
    <w:rsid w:val="005600DC"/>
    <w:rsid w:val="005661CD"/>
    <w:rsid w:val="00573DC7"/>
    <w:rsid w:val="005746E3"/>
    <w:rsid w:val="00584543"/>
    <w:rsid w:val="00585A5A"/>
    <w:rsid w:val="00586EAE"/>
    <w:rsid w:val="00591CD1"/>
    <w:rsid w:val="00592C3A"/>
    <w:rsid w:val="00596284"/>
    <w:rsid w:val="005A023F"/>
    <w:rsid w:val="005B0941"/>
    <w:rsid w:val="005B2ADB"/>
    <w:rsid w:val="005B4369"/>
    <w:rsid w:val="005B6674"/>
    <w:rsid w:val="005C0E2A"/>
    <w:rsid w:val="005C5CA4"/>
    <w:rsid w:val="005C63C1"/>
    <w:rsid w:val="005D0C18"/>
    <w:rsid w:val="005D376F"/>
    <w:rsid w:val="005D469E"/>
    <w:rsid w:val="005E4D9C"/>
    <w:rsid w:val="005E5D12"/>
    <w:rsid w:val="005F1460"/>
    <w:rsid w:val="005F2B5C"/>
    <w:rsid w:val="005F6589"/>
    <w:rsid w:val="005F74B3"/>
    <w:rsid w:val="005F7785"/>
    <w:rsid w:val="00602F0F"/>
    <w:rsid w:val="00603F3A"/>
    <w:rsid w:val="006067E0"/>
    <w:rsid w:val="00611041"/>
    <w:rsid w:val="006116E2"/>
    <w:rsid w:val="006134DD"/>
    <w:rsid w:val="00620D3E"/>
    <w:rsid w:val="00625E4C"/>
    <w:rsid w:val="006323D4"/>
    <w:rsid w:val="006351CC"/>
    <w:rsid w:val="00642391"/>
    <w:rsid w:val="006435AD"/>
    <w:rsid w:val="00646B18"/>
    <w:rsid w:val="00654079"/>
    <w:rsid w:val="006540C8"/>
    <w:rsid w:val="00654E4F"/>
    <w:rsid w:val="0065633B"/>
    <w:rsid w:val="006564F3"/>
    <w:rsid w:val="00656D3C"/>
    <w:rsid w:val="00673F52"/>
    <w:rsid w:val="00680495"/>
    <w:rsid w:val="00682CB5"/>
    <w:rsid w:val="0069224D"/>
    <w:rsid w:val="00692A31"/>
    <w:rsid w:val="006962E8"/>
    <w:rsid w:val="006A31BC"/>
    <w:rsid w:val="006A4B20"/>
    <w:rsid w:val="006B11AC"/>
    <w:rsid w:val="006B3A8F"/>
    <w:rsid w:val="006B45B6"/>
    <w:rsid w:val="006C129C"/>
    <w:rsid w:val="006C6120"/>
    <w:rsid w:val="006D3D40"/>
    <w:rsid w:val="006D5763"/>
    <w:rsid w:val="006D7B9D"/>
    <w:rsid w:val="006E1994"/>
    <w:rsid w:val="006E27B3"/>
    <w:rsid w:val="006F5CD8"/>
    <w:rsid w:val="006F6E28"/>
    <w:rsid w:val="006F7C71"/>
    <w:rsid w:val="00705959"/>
    <w:rsid w:val="00707E04"/>
    <w:rsid w:val="007106CE"/>
    <w:rsid w:val="00714F1D"/>
    <w:rsid w:val="00720ED2"/>
    <w:rsid w:val="0072146C"/>
    <w:rsid w:val="0072464C"/>
    <w:rsid w:val="007306D7"/>
    <w:rsid w:val="00732036"/>
    <w:rsid w:val="0073494D"/>
    <w:rsid w:val="007356CD"/>
    <w:rsid w:val="007359F2"/>
    <w:rsid w:val="00741008"/>
    <w:rsid w:val="00741615"/>
    <w:rsid w:val="00746A16"/>
    <w:rsid w:val="0074769F"/>
    <w:rsid w:val="00753CAE"/>
    <w:rsid w:val="00754403"/>
    <w:rsid w:val="00755AFD"/>
    <w:rsid w:val="00756D27"/>
    <w:rsid w:val="007608D8"/>
    <w:rsid w:val="00764697"/>
    <w:rsid w:val="00787BAE"/>
    <w:rsid w:val="00791703"/>
    <w:rsid w:val="00792E04"/>
    <w:rsid w:val="00792F63"/>
    <w:rsid w:val="00795345"/>
    <w:rsid w:val="0079605C"/>
    <w:rsid w:val="007965A7"/>
    <w:rsid w:val="007A1279"/>
    <w:rsid w:val="007A697C"/>
    <w:rsid w:val="007B0529"/>
    <w:rsid w:val="007B6C97"/>
    <w:rsid w:val="007B7D2E"/>
    <w:rsid w:val="007C0366"/>
    <w:rsid w:val="007C23B3"/>
    <w:rsid w:val="007C2738"/>
    <w:rsid w:val="007C3674"/>
    <w:rsid w:val="007C79F3"/>
    <w:rsid w:val="007D091F"/>
    <w:rsid w:val="007D11DA"/>
    <w:rsid w:val="007D43CC"/>
    <w:rsid w:val="007D7B69"/>
    <w:rsid w:val="007E3278"/>
    <w:rsid w:val="007E50EC"/>
    <w:rsid w:val="007E677F"/>
    <w:rsid w:val="007F3AAE"/>
    <w:rsid w:val="00812D36"/>
    <w:rsid w:val="00812E37"/>
    <w:rsid w:val="008136CC"/>
    <w:rsid w:val="0082349E"/>
    <w:rsid w:val="00824636"/>
    <w:rsid w:val="00827318"/>
    <w:rsid w:val="00834ECD"/>
    <w:rsid w:val="00841ECD"/>
    <w:rsid w:val="008437CB"/>
    <w:rsid w:val="00845292"/>
    <w:rsid w:val="00850D04"/>
    <w:rsid w:val="008534B9"/>
    <w:rsid w:val="0085513D"/>
    <w:rsid w:val="00861376"/>
    <w:rsid w:val="00861631"/>
    <w:rsid w:val="00862720"/>
    <w:rsid w:val="00864A80"/>
    <w:rsid w:val="00870A0A"/>
    <w:rsid w:val="00872E19"/>
    <w:rsid w:val="00873399"/>
    <w:rsid w:val="00873C74"/>
    <w:rsid w:val="00874791"/>
    <w:rsid w:val="008836E5"/>
    <w:rsid w:val="00883F48"/>
    <w:rsid w:val="008875D8"/>
    <w:rsid w:val="008911A8"/>
    <w:rsid w:val="0089175C"/>
    <w:rsid w:val="0089410F"/>
    <w:rsid w:val="00894490"/>
    <w:rsid w:val="00895929"/>
    <w:rsid w:val="008A0A7D"/>
    <w:rsid w:val="008A2A31"/>
    <w:rsid w:val="008A34E4"/>
    <w:rsid w:val="008A3F51"/>
    <w:rsid w:val="008A42AC"/>
    <w:rsid w:val="008A6282"/>
    <w:rsid w:val="008A6481"/>
    <w:rsid w:val="008B32BC"/>
    <w:rsid w:val="008B752C"/>
    <w:rsid w:val="008B7FCD"/>
    <w:rsid w:val="008C23A4"/>
    <w:rsid w:val="008C51F1"/>
    <w:rsid w:val="008D5193"/>
    <w:rsid w:val="008D5305"/>
    <w:rsid w:val="008D5DF5"/>
    <w:rsid w:val="008E00CE"/>
    <w:rsid w:val="008E02EB"/>
    <w:rsid w:val="008E3EB7"/>
    <w:rsid w:val="008E4EB7"/>
    <w:rsid w:val="008E5DF2"/>
    <w:rsid w:val="008E7D03"/>
    <w:rsid w:val="008F59D8"/>
    <w:rsid w:val="008F6D38"/>
    <w:rsid w:val="00900F55"/>
    <w:rsid w:val="0090182A"/>
    <w:rsid w:val="00902491"/>
    <w:rsid w:val="009037DA"/>
    <w:rsid w:val="009064F2"/>
    <w:rsid w:val="00907924"/>
    <w:rsid w:val="0090796E"/>
    <w:rsid w:val="009126B5"/>
    <w:rsid w:val="00912B63"/>
    <w:rsid w:val="00915D11"/>
    <w:rsid w:val="00922A6D"/>
    <w:rsid w:val="00927999"/>
    <w:rsid w:val="00932C70"/>
    <w:rsid w:val="00941151"/>
    <w:rsid w:val="00942B87"/>
    <w:rsid w:val="00947B6B"/>
    <w:rsid w:val="0095503E"/>
    <w:rsid w:val="00955EDD"/>
    <w:rsid w:val="0096319F"/>
    <w:rsid w:val="009650EC"/>
    <w:rsid w:val="00967ECB"/>
    <w:rsid w:val="009711B8"/>
    <w:rsid w:val="009744A2"/>
    <w:rsid w:val="009763B8"/>
    <w:rsid w:val="00977233"/>
    <w:rsid w:val="0098109A"/>
    <w:rsid w:val="009815C9"/>
    <w:rsid w:val="00983050"/>
    <w:rsid w:val="0098553D"/>
    <w:rsid w:val="009859CE"/>
    <w:rsid w:val="00996691"/>
    <w:rsid w:val="00996891"/>
    <w:rsid w:val="009A0A93"/>
    <w:rsid w:val="009A0E3D"/>
    <w:rsid w:val="009A16D2"/>
    <w:rsid w:val="009A178F"/>
    <w:rsid w:val="009A2767"/>
    <w:rsid w:val="009A2B12"/>
    <w:rsid w:val="009A5B09"/>
    <w:rsid w:val="009A7983"/>
    <w:rsid w:val="009B6991"/>
    <w:rsid w:val="009B6C2B"/>
    <w:rsid w:val="009C288F"/>
    <w:rsid w:val="009C4B95"/>
    <w:rsid w:val="009C4F03"/>
    <w:rsid w:val="009D1E28"/>
    <w:rsid w:val="009D546D"/>
    <w:rsid w:val="009E4123"/>
    <w:rsid w:val="009E6235"/>
    <w:rsid w:val="009E637D"/>
    <w:rsid w:val="009E6A6B"/>
    <w:rsid w:val="009E7B9E"/>
    <w:rsid w:val="009F019B"/>
    <w:rsid w:val="009F1ACA"/>
    <w:rsid w:val="009F3DD5"/>
    <w:rsid w:val="009F5064"/>
    <w:rsid w:val="00A05032"/>
    <w:rsid w:val="00A154FE"/>
    <w:rsid w:val="00A165EA"/>
    <w:rsid w:val="00A208E1"/>
    <w:rsid w:val="00A22CD8"/>
    <w:rsid w:val="00A24047"/>
    <w:rsid w:val="00A24643"/>
    <w:rsid w:val="00A25848"/>
    <w:rsid w:val="00A25B19"/>
    <w:rsid w:val="00A26516"/>
    <w:rsid w:val="00A32636"/>
    <w:rsid w:val="00A336A4"/>
    <w:rsid w:val="00A3415F"/>
    <w:rsid w:val="00A371DE"/>
    <w:rsid w:val="00A37B29"/>
    <w:rsid w:val="00A40403"/>
    <w:rsid w:val="00A469A1"/>
    <w:rsid w:val="00A478F7"/>
    <w:rsid w:val="00A51797"/>
    <w:rsid w:val="00A51B92"/>
    <w:rsid w:val="00A537EF"/>
    <w:rsid w:val="00A64E3E"/>
    <w:rsid w:val="00A64F20"/>
    <w:rsid w:val="00A703E7"/>
    <w:rsid w:val="00A72677"/>
    <w:rsid w:val="00A81427"/>
    <w:rsid w:val="00A816FF"/>
    <w:rsid w:val="00A84BC0"/>
    <w:rsid w:val="00A85C29"/>
    <w:rsid w:val="00A8604C"/>
    <w:rsid w:val="00A86FC0"/>
    <w:rsid w:val="00A8763F"/>
    <w:rsid w:val="00A92F1E"/>
    <w:rsid w:val="00A95D2E"/>
    <w:rsid w:val="00A9662A"/>
    <w:rsid w:val="00A97744"/>
    <w:rsid w:val="00A97ABA"/>
    <w:rsid w:val="00AA0530"/>
    <w:rsid w:val="00AA26E2"/>
    <w:rsid w:val="00AA5854"/>
    <w:rsid w:val="00AB4181"/>
    <w:rsid w:val="00AB44CD"/>
    <w:rsid w:val="00AB54C5"/>
    <w:rsid w:val="00AB5F63"/>
    <w:rsid w:val="00AC1284"/>
    <w:rsid w:val="00AC379C"/>
    <w:rsid w:val="00AC57F7"/>
    <w:rsid w:val="00AC5B5F"/>
    <w:rsid w:val="00AE3AE1"/>
    <w:rsid w:val="00AE5345"/>
    <w:rsid w:val="00AF71ED"/>
    <w:rsid w:val="00B10932"/>
    <w:rsid w:val="00B11602"/>
    <w:rsid w:val="00B121D6"/>
    <w:rsid w:val="00B13AC1"/>
    <w:rsid w:val="00B1442F"/>
    <w:rsid w:val="00B15005"/>
    <w:rsid w:val="00B1573A"/>
    <w:rsid w:val="00B17448"/>
    <w:rsid w:val="00B21A2E"/>
    <w:rsid w:val="00B2248B"/>
    <w:rsid w:val="00B23949"/>
    <w:rsid w:val="00B32C19"/>
    <w:rsid w:val="00B337F2"/>
    <w:rsid w:val="00B35BD8"/>
    <w:rsid w:val="00B367E4"/>
    <w:rsid w:val="00B36873"/>
    <w:rsid w:val="00B36D0D"/>
    <w:rsid w:val="00B40F7F"/>
    <w:rsid w:val="00B459F5"/>
    <w:rsid w:val="00B467AD"/>
    <w:rsid w:val="00B47F77"/>
    <w:rsid w:val="00B63FAD"/>
    <w:rsid w:val="00B74388"/>
    <w:rsid w:val="00B766D1"/>
    <w:rsid w:val="00B84A43"/>
    <w:rsid w:val="00B8557A"/>
    <w:rsid w:val="00B87BC2"/>
    <w:rsid w:val="00B92FAF"/>
    <w:rsid w:val="00B954F0"/>
    <w:rsid w:val="00B95F66"/>
    <w:rsid w:val="00B96B06"/>
    <w:rsid w:val="00B97DA3"/>
    <w:rsid w:val="00BA5093"/>
    <w:rsid w:val="00BA56CE"/>
    <w:rsid w:val="00BB0951"/>
    <w:rsid w:val="00BB2538"/>
    <w:rsid w:val="00BB64D3"/>
    <w:rsid w:val="00BB7814"/>
    <w:rsid w:val="00BC0080"/>
    <w:rsid w:val="00BC66B0"/>
    <w:rsid w:val="00BC7BB0"/>
    <w:rsid w:val="00BD0D0A"/>
    <w:rsid w:val="00BD0F33"/>
    <w:rsid w:val="00BD36EB"/>
    <w:rsid w:val="00BD37EF"/>
    <w:rsid w:val="00BD442A"/>
    <w:rsid w:val="00BD61CA"/>
    <w:rsid w:val="00BE2D5E"/>
    <w:rsid w:val="00BE2F69"/>
    <w:rsid w:val="00BE318C"/>
    <w:rsid w:val="00BE46CE"/>
    <w:rsid w:val="00BF06CC"/>
    <w:rsid w:val="00BF0E6B"/>
    <w:rsid w:val="00BF349F"/>
    <w:rsid w:val="00BF47DE"/>
    <w:rsid w:val="00BF4BEC"/>
    <w:rsid w:val="00BF5EC2"/>
    <w:rsid w:val="00C0258F"/>
    <w:rsid w:val="00C17AED"/>
    <w:rsid w:val="00C205C6"/>
    <w:rsid w:val="00C2117A"/>
    <w:rsid w:val="00C23769"/>
    <w:rsid w:val="00C23F53"/>
    <w:rsid w:val="00C3258F"/>
    <w:rsid w:val="00C33C92"/>
    <w:rsid w:val="00C34F84"/>
    <w:rsid w:val="00C42106"/>
    <w:rsid w:val="00C47AF6"/>
    <w:rsid w:val="00C51C0C"/>
    <w:rsid w:val="00C55C83"/>
    <w:rsid w:val="00C564CF"/>
    <w:rsid w:val="00C6278F"/>
    <w:rsid w:val="00C633B0"/>
    <w:rsid w:val="00C66C11"/>
    <w:rsid w:val="00C717D2"/>
    <w:rsid w:val="00C733B4"/>
    <w:rsid w:val="00C809C1"/>
    <w:rsid w:val="00C852D5"/>
    <w:rsid w:val="00C86BDB"/>
    <w:rsid w:val="00C92404"/>
    <w:rsid w:val="00C95388"/>
    <w:rsid w:val="00C96A35"/>
    <w:rsid w:val="00C977A1"/>
    <w:rsid w:val="00CA13BE"/>
    <w:rsid w:val="00CA4598"/>
    <w:rsid w:val="00CB5A7B"/>
    <w:rsid w:val="00CB6985"/>
    <w:rsid w:val="00CB6BB6"/>
    <w:rsid w:val="00CB717F"/>
    <w:rsid w:val="00CC00EB"/>
    <w:rsid w:val="00CC3BF2"/>
    <w:rsid w:val="00CC4B9D"/>
    <w:rsid w:val="00CC65E3"/>
    <w:rsid w:val="00CC67A6"/>
    <w:rsid w:val="00CD4A01"/>
    <w:rsid w:val="00CD4AB5"/>
    <w:rsid w:val="00CE189C"/>
    <w:rsid w:val="00CE1D4E"/>
    <w:rsid w:val="00CE6FC0"/>
    <w:rsid w:val="00CF0FE4"/>
    <w:rsid w:val="00CF2EEE"/>
    <w:rsid w:val="00CF3B5A"/>
    <w:rsid w:val="00D03AF3"/>
    <w:rsid w:val="00D07B29"/>
    <w:rsid w:val="00D11A74"/>
    <w:rsid w:val="00D1290A"/>
    <w:rsid w:val="00D17AFC"/>
    <w:rsid w:val="00D23CA7"/>
    <w:rsid w:val="00D26938"/>
    <w:rsid w:val="00D41E4B"/>
    <w:rsid w:val="00D4528F"/>
    <w:rsid w:val="00D509FC"/>
    <w:rsid w:val="00D54B1E"/>
    <w:rsid w:val="00D56098"/>
    <w:rsid w:val="00D56D5F"/>
    <w:rsid w:val="00D649EB"/>
    <w:rsid w:val="00D65317"/>
    <w:rsid w:val="00D65E1D"/>
    <w:rsid w:val="00D67687"/>
    <w:rsid w:val="00D708C5"/>
    <w:rsid w:val="00D7141D"/>
    <w:rsid w:val="00D71A39"/>
    <w:rsid w:val="00D7527B"/>
    <w:rsid w:val="00D75D92"/>
    <w:rsid w:val="00D75EF8"/>
    <w:rsid w:val="00D8012F"/>
    <w:rsid w:val="00D8520D"/>
    <w:rsid w:val="00D905B9"/>
    <w:rsid w:val="00D91E1B"/>
    <w:rsid w:val="00D92105"/>
    <w:rsid w:val="00D93EAC"/>
    <w:rsid w:val="00D9486E"/>
    <w:rsid w:val="00DA00D5"/>
    <w:rsid w:val="00DA2454"/>
    <w:rsid w:val="00DA3EFD"/>
    <w:rsid w:val="00DB0E47"/>
    <w:rsid w:val="00DB228B"/>
    <w:rsid w:val="00DB3462"/>
    <w:rsid w:val="00DB4A87"/>
    <w:rsid w:val="00DC26DA"/>
    <w:rsid w:val="00DD11E3"/>
    <w:rsid w:val="00DD3D1F"/>
    <w:rsid w:val="00DD4411"/>
    <w:rsid w:val="00DD6DC1"/>
    <w:rsid w:val="00DE227C"/>
    <w:rsid w:val="00DE22BE"/>
    <w:rsid w:val="00DE3BC5"/>
    <w:rsid w:val="00DE511E"/>
    <w:rsid w:val="00DF0844"/>
    <w:rsid w:val="00DF1CEF"/>
    <w:rsid w:val="00DF23A6"/>
    <w:rsid w:val="00E03153"/>
    <w:rsid w:val="00E03A15"/>
    <w:rsid w:val="00E0767E"/>
    <w:rsid w:val="00E115B7"/>
    <w:rsid w:val="00E11BB5"/>
    <w:rsid w:val="00E12854"/>
    <w:rsid w:val="00E152F9"/>
    <w:rsid w:val="00E20FCF"/>
    <w:rsid w:val="00E22444"/>
    <w:rsid w:val="00E26775"/>
    <w:rsid w:val="00E34218"/>
    <w:rsid w:val="00E40F0A"/>
    <w:rsid w:val="00E41756"/>
    <w:rsid w:val="00E44936"/>
    <w:rsid w:val="00E449A6"/>
    <w:rsid w:val="00E52144"/>
    <w:rsid w:val="00E573F0"/>
    <w:rsid w:val="00E6261E"/>
    <w:rsid w:val="00E913A0"/>
    <w:rsid w:val="00E95A69"/>
    <w:rsid w:val="00EA0C66"/>
    <w:rsid w:val="00EA33A0"/>
    <w:rsid w:val="00EA411A"/>
    <w:rsid w:val="00EA69DB"/>
    <w:rsid w:val="00EA78CA"/>
    <w:rsid w:val="00EB2EB4"/>
    <w:rsid w:val="00EB3C71"/>
    <w:rsid w:val="00EC1651"/>
    <w:rsid w:val="00EC3CEF"/>
    <w:rsid w:val="00EC512D"/>
    <w:rsid w:val="00EC6697"/>
    <w:rsid w:val="00ED1451"/>
    <w:rsid w:val="00ED4381"/>
    <w:rsid w:val="00EE1D39"/>
    <w:rsid w:val="00EE39CF"/>
    <w:rsid w:val="00EE683A"/>
    <w:rsid w:val="00EE689F"/>
    <w:rsid w:val="00EF31A8"/>
    <w:rsid w:val="00EF4E77"/>
    <w:rsid w:val="00EF730F"/>
    <w:rsid w:val="00F000F4"/>
    <w:rsid w:val="00F017DA"/>
    <w:rsid w:val="00F02B36"/>
    <w:rsid w:val="00F0624C"/>
    <w:rsid w:val="00F17A76"/>
    <w:rsid w:val="00F17B73"/>
    <w:rsid w:val="00F2190A"/>
    <w:rsid w:val="00F2401D"/>
    <w:rsid w:val="00F27CF9"/>
    <w:rsid w:val="00F34209"/>
    <w:rsid w:val="00F37B31"/>
    <w:rsid w:val="00F41E41"/>
    <w:rsid w:val="00F42C07"/>
    <w:rsid w:val="00F440C2"/>
    <w:rsid w:val="00F46FE7"/>
    <w:rsid w:val="00F50951"/>
    <w:rsid w:val="00F65664"/>
    <w:rsid w:val="00F666F7"/>
    <w:rsid w:val="00F70F89"/>
    <w:rsid w:val="00F7284C"/>
    <w:rsid w:val="00F73881"/>
    <w:rsid w:val="00F748E1"/>
    <w:rsid w:val="00F77CA4"/>
    <w:rsid w:val="00F77F4B"/>
    <w:rsid w:val="00F81CFD"/>
    <w:rsid w:val="00F87AFE"/>
    <w:rsid w:val="00F915F3"/>
    <w:rsid w:val="00F9423F"/>
    <w:rsid w:val="00F9457C"/>
    <w:rsid w:val="00F95B75"/>
    <w:rsid w:val="00FA142C"/>
    <w:rsid w:val="00FA1486"/>
    <w:rsid w:val="00FA2306"/>
    <w:rsid w:val="00FB1B4D"/>
    <w:rsid w:val="00FB5BCC"/>
    <w:rsid w:val="00FC0FAD"/>
    <w:rsid w:val="00FC134D"/>
    <w:rsid w:val="00FC2011"/>
    <w:rsid w:val="00FC342C"/>
    <w:rsid w:val="00FC3BE3"/>
    <w:rsid w:val="00FC6689"/>
    <w:rsid w:val="00FC6998"/>
    <w:rsid w:val="00FC6EA8"/>
    <w:rsid w:val="00FD4729"/>
    <w:rsid w:val="00FE322E"/>
    <w:rsid w:val="00FE5F72"/>
    <w:rsid w:val="00FF0288"/>
    <w:rsid w:val="00FF3478"/>
    <w:rsid w:val="00FF4831"/>
    <w:rsid w:val="00FF518E"/>
    <w:rsid w:val="00FF7CE5"/>
    <w:rsid w:val="0209177B"/>
    <w:rsid w:val="0B707672"/>
    <w:rsid w:val="0DF923BF"/>
    <w:rsid w:val="0FF35E1E"/>
    <w:rsid w:val="11A770C1"/>
    <w:rsid w:val="13ED0E28"/>
    <w:rsid w:val="24F62ED9"/>
    <w:rsid w:val="2833094C"/>
    <w:rsid w:val="342A45E0"/>
    <w:rsid w:val="3E705763"/>
    <w:rsid w:val="40F91BF6"/>
    <w:rsid w:val="51644DBE"/>
    <w:rsid w:val="55CA0B9C"/>
    <w:rsid w:val="56B764EE"/>
    <w:rsid w:val="57A349C3"/>
    <w:rsid w:val="5E436CC2"/>
    <w:rsid w:val="5E5215C6"/>
    <w:rsid w:val="64B4692C"/>
    <w:rsid w:val="67FE17E9"/>
    <w:rsid w:val="6C3A1162"/>
    <w:rsid w:val="6CB202B7"/>
    <w:rsid w:val="70DA07C4"/>
    <w:rsid w:val="71BA75B7"/>
    <w:rsid w:val="71C91FDE"/>
    <w:rsid w:val="74DD7BD4"/>
    <w:rsid w:val="79EB087B"/>
    <w:rsid w:val="7E601DE0"/>
    <w:rsid w:val="7EEF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0F1012-53D6-4020-9053-EFD44279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spacing w:line="560" w:lineRule="exact"/>
      <w:ind w:firstLineChars="200" w:firstLine="200"/>
      <w:jc w:val="both"/>
    </w:pPr>
    <w:rPr>
      <w:rFonts w:eastAsia="仿宋_GB2312" w:cstheme="minorBidi"/>
      <w:kern w:val="2"/>
      <w:sz w:val="32"/>
      <w:szCs w:val="22"/>
    </w:rPr>
  </w:style>
  <w:style w:type="paragraph" w:styleId="1">
    <w:name w:val="heading 1"/>
    <w:basedOn w:val="a"/>
    <w:next w:val="a"/>
    <w:link w:val="1Char"/>
    <w:uiPriority w:val="9"/>
    <w:qFormat/>
    <w:pPr>
      <w:keepNext/>
      <w:keepLines/>
      <w:numPr>
        <w:numId w:val="1"/>
      </w:numPr>
      <w:spacing w:before="120" w:afterLines="50" w:after="156" w:line="240" w:lineRule="auto"/>
      <w:ind w:firstLine="0"/>
      <w:jc w:val="left"/>
      <w:outlineLvl w:val="0"/>
    </w:pPr>
    <w:rPr>
      <w:b/>
      <w:bCs/>
      <w:kern w:val="44"/>
      <w:szCs w:val="44"/>
    </w:rPr>
  </w:style>
  <w:style w:type="paragraph" w:styleId="2">
    <w:name w:val="heading 2"/>
    <w:basedOn w:val="a"/>
    <w:next w:val="a"/>
    <w:link w:val="2Char"/>
    <w:uiPriority w:val="9"/>
    <w:qFormat/>
    <w:pPr>
      <w:keepNext/>
      <w:keepLines/>
      <w:numPr>
        <w:numId w:val="2"/>
      </w:numPr>
      <w:spacing w:before="160" w:afterLines="50" w:after="50" w:line="500" w:lineRule="exact"/>
      <w:ind w:firstLineChars="0" w:firstLine="0"/>
      <w:jc w:val="left"/>
      <w:outlineLvl w:val="1"/>
    </w:pPr>
    <w:rPr>
      <w:rFonts w:ascii="Calibri Light" w:eastAsia="黑体" w:hAnsi="Calibri Light" w:cs="宋体"/>
      <w:b/>
      <w:bCs/>
      <w:szCs w:val="32"/>
      <w:lang w:val="zh-CN"/>
    </w:rPr>
  </w:style>
  <w:style w:type="paragraph" w:styleId="3">
    <w:name w:val="heading 3"/>
    <w:basedOn w:val="a"/>
    <w:next w:val="a"/>
    <w:link w:val="3Char"/>
    <w:uiPriority w:val="9"/>
    <w:semiHidden/>
    <w:unhideWhenUsed/>
    <w:qFormat/>
    <w:pPr>
      <w:keepNext/>
      <w:keepLines/>
      <w:spacing w:before="260" w:afterLines="5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link w:val="2Char0"/>
    <w:uiPriority w:val="99"/>
    <w:unhideWhenUsed/>
    <w:qFormat/>
    <w:pPr>
      <w:ind w:firstLine="420"/>
    </w:pPr>
  </w:style>
  <w:style w:type="paragraph" w:styleId="a3">
    <w:name w:val="Body Text Indent"/>
    <w:basedOn w:val="a"/>
    <w:link w:val="Char"/>
    <w:uiPriority w:val="99"/>
    <w:semiHidden/>
    <w:unhideWhenUsed/>
    <w:qFormat/>
    <w:pPr>
      <w:spacing w:after="120"/>
      <w:ind w:leftChars="200" w:left="420"/>
    </w:pPr>
  </w:style>
  <w:style w:type="paragraph" w:styleId="a4">
    <w:name w:val="Normal Indent"/>
    <w:basedOn w:val="a"/>
    <w:qFormat/>
    <w:pPr>
      <w:spacing w:after="50" w:line="500" w:lineRule="exact"/>
      <w:ind w:firstLine="420"/>
    </w:pPr>
    <w:rPr>
      <w:rFonts w:ascii="Calibri" w:eastAsia="宋体" w:hAnsi="Calibri" w:cs="Times New Roman"/>
      <w:szCs w:val="24"/>
    </w:rPr>
  </w:style>
  <w:style w:type="paragraph" w:styleId="a5">
    <w:name w:val="Document Map"/>
    <w:basedOn w:val="a"/>
    <w:link w:val="Char0"/>
    <w:uiPriority w:val="99"/>
    <w:semiHidden/>
    <w:unhideWhenUsed/>
    <w:qFormat/>
    <w:pPr>
      <w:spacing w:afterLines="50" w:after="50" w:line="500" w:lineRule="exact"/>
    </w:pPr>
    <w:rPr>
      <w:rFonts w:ascii="宋体" w:eastAsia="宋体"/>
      <w:sz w:val="18"/>
      <w:szCs w:val="18"/>
    </w:rPr>
  </w:style>
  <w:style w:type="paragraph" w:styleId="a6">
    <w:name w:val="annotation text"/>
    <w:basedOn w:val="a"/>
    <w:link w:val="Char1"/>
    <w:uiPriority w:val="99"/>
    <w:semiHidden/>
    <w:unhideWhenUsed/>
    <w:qFormat/>
    <w:pPr>
      <w:spacing w:afterLines="50" w:after="50" w:line="500" w:lineRule="exact"/>
      <w:jc w:val="left"/>
    </w:pPr>
  </w:style>
  <w:style w:type="paragraph" w:styleId="a7">
    <w:name w:val="Body Text"/>
    <w:basedOn w:val="a"/>
    <w:link w:val="Char2"/>
    <w:uiPriority w:val="99"/>
    <w:semiHidden/>
    <w:unhideWhenUsed/>
    <w:pPr>
      <w:spacing w:after="120"/>
    </w:pPr>
  </w:style>
  <w:style w:type="paragraph" w:styleId="30">
    <w:name w:val="toc 3"/>
    <w:basedOn w:val="a"/>
    <w:next w:val="a"/>
    <w:uiPriority w:val="39"/>
    <w:unhideWhenUsed/>
    <w:qFormat/>
    <w:pPr>
      <w:widowControl/>
      <w:spacing w:after="100" w:line="259" w:lineRule="auto"/>
      <w:ind w:left="440" w:firstLine="0"/>
      <w:jc w:val="left"/>
    </w:pPr>
    <w:rPr>
      <w:rFonts w:eastAsiaTheme="minorEastAsia" w:cs="Times New Roman"/>
      <w:kern w:val="0"/>
      <w:sz w:val="22"/>
    </w:rPr>
  </w:style>
  <w:style w:type="paragraph" w:styleId="a8">
    <w:name w:val="Date"/>
    <w:basedOn w:val="a"/>
    <w:next w:val="a"/>
    <w:link w:val="Char3"/>
    <w:uiPriority w:val="99"/>
    <w:semiHidden/>
    <w:unhideWhenUsed/>
    <w:qFormat/>
    <w:pPr>
      <w:ind w:leftChars="2500" w:left="100"/>
    </w:pPr>
  </w:style>
  <w:style w:type="paragraph" w:styleId="a9">
    <w:name w:val="Balloon Text"/>
    <w:basedOn w:val="a"/>
    <w:link w:val="Char4"/>
    <w:uiPriority w:val="99"/>
    <w:semiHidden/>
    <w:unhideWhenUsed/>
    <w:qFormat/>
    <w:pPr>
      <w:spacing w:afterLines="50" w:after="50" w:line="240" w:lineRule="auto"/>
    </w:pPr>
    <w:rPr>
      <w:sz w:val="18"/>
      <w:szCs w:val="18"/>
    </w:rPr>
  </w:style>
  <w:style w:type="paragraph" w:styleId="aa">
    <w:name w:val="footer"/>
    <w:basedOn w:val="a"/>
    <w:link w:val="Char5"/>
    <w:uiPriority w:val="99"/>
    <w:unhideWhenUsed/>
    <w:qFormat/>
    <w:pPr>
      <w:tabs>
        <w:tab w:val="center" w:pos="4153"/>
        <w:tab w:val="right" w:pos="8306"/>
      </w:tabs>
      <w:snapToGrid w:val="0"/>
      <w:spacing w:line="240" w:lineRule="auto"/>
      <w:ind w:firstLine="0"/>
      <w:jc w:val="left"/>
    </w:pPr>
    <w:rPr>
      <w:rFonts w:ascii="Calibri" w:eastAsia="宋体" w:hAnsi="Calibri" w:cs="Times New Roman"/>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spacing w:afterLines="50" w:after="50" w:line="500" w:lineRule="exact"/>
      <w:jc w:val="center"/>
    </w:pPr>
    <w:rPr>
      <w:sz w:val="18"/>
      <w:szCs w:val="18"/>
    </w:rPr>
  </w:style>
  <w:style w:type="paragraph" w:styleId="10">
    <w:name w:val="toc 1"/>
    <w:basedOn w:val="a"/>
    <w:next w:val="a"/>
    <w:uiPriority w:val="39"/>
    <w:unhideWhenUsed/>
    <w:qFormat/>
    <w:pPr>
      <w:widowControl/>
      <w:spacing w:after="100" w:line="259" w:lineRule="auto"/>
      <w:ind w:firstLine="0"/>
      <w:jc w:val="left"/>
    </w:pPr>
    <w:rPr>
      <w:rFonts w:eastAsiaTheme="minorEastAsia" w:cs="Times New Roman"/>
      <w:kern w:val="0"/>
      <w:sz w:val="22"/>
    </w:rPr>
  </w:style>
  <w:style w:type="paragraph" w:styleId="21">
    <w:name w:val="toc 2"/>
    <w:basedOn w:val="a"/>
    <w:next w:val="a"/>
    <w:uiPriority w:val="39"/>
    <w:unhideWhenUsed/>
    <w:qFormat/>
    <w:pPr>
      <w:widowControl/>
      <w:spacing w:after="100" w:line="259" w:lineRule="auto"/>
      <w:ind w:left="220" w:firstLine="0"/>
      <w:jc w:val="left"/>
    </w:pPr>
    <w:rPr>
      <w:rFonts w:eastAsiaTheme="minorEastAsia" w:cs="Times New Roman"/>
      <w:kern w:val="0"/>
      <w:sz w:val="22"/>
    </w:rPr>
  </w:style>
  <w:style w:type="paragraph" w:styleId="ac">
    <w:name w:val="Normal (Web)"/>
    <w:basedOn w:val="a"/>
    <w:uiPriority w:val="99"/>
    <w:qFormat/>
    <w:pPr>
      <w:widowControl/>
      <w:spacing w:before="100" w:beforeAutospacing="1" w:after="100" w:afterAutospacing="1" w:line="240" w:lineRule="auto"/>
      <w:ind w:firstLine="0"/>
      <w:jc w:val="left"/>
    </w:pPr>
    <w:rPr>
      <w:rFonts w:ascii="宋体" w:eastAsia="宋体" w:hAnsi="宋体" w:cs="宋体"/>
      <w:kern w:val="0"/>
      <w:szCs w:val="24"/>
    </w:rPr>
  </w:style>
  <w:style w:type="paragraph" w:styleId="ad">
    <w:name w:val="annotation subject"/>
    <w:basedOn w:val="a6"/>
    <w:next w:val="a6"/>
    <w:link w:val="Char7"/>
    <w:uiPriority w:val="99"/>
    <w:semiHidden/>
    <w:unhideWhenUsed/>
    <w:qFormat/>
    <w:rPr>
      <w:b/>
      <w:bCs/>
    </w:r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Hyperlink"/>
    <w:uiPriority w:val="99"/>
    <w:unhideWhenUsed/>
    <w:qFormat/>
    <w:rPr>
      <w:color w:val="0563C1"/>
      <w:u w:val="single"/>
    </w:rPr>
  </w:style>
  <w:style w:type="character" w:styleId="af1">
    <w:name w:val="annotation reference"/>
    <w:basedOn w:val="a0"/>
    <w:uiPriority w:val="99"/>
    <w:semiHidden/>
    <w:unhideWhenUsed/>
    <w:qFormat/>
    <w:rPr>
      <w:sz w:val="21"/>
      <w:szCs w:val="21"/>
    </w:rPr>
  </w:style>
  <w:style w:type="character" w:customStyle="1" w:styleId="Char">
    <w:name w:val="正文文本缩进 Char"/>
    <w:basedOn w:val="a0"/>
    <w:link w:val="a3"/>
    <w:uiPriority w:val="99"/>
    <w:semiHidden/>
    <w:qFormat/>
    <w:rPr>
      <w:rFonts w:ascii="Times New Roman" w:eastAsia="仿宋" w:hAnsi="Times New Roman"/>
      <w:sz w:val="32"/>
    </w:rPr>
  </w:style>
  <w:style w:type="character" w:customStyle="1" w:styleId="2Char0">
    <w:name w:val="正文首行缩进 2 Char"/>
    <w:basedOn w:val="Char"/>
    <w:link w:val="20"/>
    <w:uiPriority w:val="99"/>
    <w:qFormat/>
    <w:rPr>
      <w:rFonts w:ascii="Times New Roman" w:eastAsia="仿宋" w:hAnsi="Times New Roman"/>
      <w:sz w:val="32"/>
    </w:rPr>
  </w:style>
  <w:style w:type="character" w:customStyle="1" w:styleId="Char3">
    <w:name w:val="日期 Char"/>
    <w:basedOn w:val="a0"/>
    <w:link w:val="a8"/>
    <w:uiPriority w:val="99"/>
    <w:semiHidden/>
    <w:qFormat/>
    <w:rPr>
      <w:rFonts w:ascii="Times New Roman" w:eastAsia="仿宋" w:hAnsi="Times New Roman"/>
      <w:sz w:val="32"/>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1Char">
    <w:name w:val="标题 1 Char"/>
    <w:basedOn w:val="a0"/>
    <w:link w:val="1"/>
    <w:uiPriority w:val="9"/>
    <w:qFormat/>
    <w:rPr>
      <w:rFonts w:ascii="Times New Roman" w:eastAsia="仿宋_GB2312" w:hAnsi="Times New Roman"/>
      <w:b/>
      <w:bCs/>
      <w:kern w:val="44"/>
      <w:sz w:val="28"/>
      <w:szCs w:val="44"/>
    </w:rPr>
  </w:style>
  <w:style w:type="character" w:customStyle="1" w:styleId="2Char">
    <w:name w:val="标题 2 Char"/>
    <w:basedOn w:val="a0"/>
    <w:link w:val="2"/>
    <w:uiPriority w:val="9"/>
    <w:qFormat/>
    <w:rPr>
      <w:rFonts w:ascii="Calibri Light" w:eastAsia="黑体" w:hAnsi="Calibri Light" w:cs="宋体"/>
      <w:b/>
      <w:bCs/>
      <w:kern w:val="2"/>
      <w:sz w:val="32"/>
      <w:szCs w:val="32"/>
      <w:lang w:val="zh-CN"/>
    </w:rPr>
  </w:style>
  <w:style w:type="character" w:customStyle="1" w:styleId="3Char">
    <w:name w:val="标题 3 Char"/>
    <w:basedOn w:val="a0"/>
    <w:link w:val="3"/>
    <w:uiPriority w:val="9"/>
    <w:semiHidden/>
    <w:qFormat/>
    <w:rPr>
      <w:rFonts w:ascii="Times New Roman" w:eastAsia="仿宋_GB2312" w:hAnsi="Times New Roman"/>
      <w:b/>
      <w:bCs/>
      <w:sz w:val="32"/>
      <w:szCs w:val="32"/>
    </w:rPr>
  </w:style>
  <w:style w:type="character" w:customStyle="1" w:styleId="Char6">
    <w:name w:val="页眉 Char"/>
    <w:basedOn w:val="a0"/>
    <w:link w:val="ab"/>
    <w:uiPriority w:val="99"/>
    <w:qFormat/>
    <w:rPr>
      <w:rFonts w:ascii="Times New Roman" w:eastAsia="仿宋_GB2312" w:hAnsi="Times New Roman"/>
      <w:sz w:val="18"/>
      <w:szCs w:val="18"/>
    </w:rPr>
  </w:style>
  <w:style w:type="paragraph" w:customStyle="1" w:styleId="figure">
    <w:name w:val="figure"/>
    <w:qFormat/>
    <w:pPr>
      <w:jc w:val="center"/>
    </w:pPr>
    <w:rPr>
      <w:rFonts w:ascii="宋体" w:hAnsi="宋体" w:cstheme="minorBidi"/>
      <w:kern w:val="2"/>
      <w:sz w:val="21"/>
      <w:szCs w:val="21"/>
    </w:rPr>
  </w:style>
  <w:style w:type="character" w:customStyle="1" w:styleId="Char4">
    <w:name w:val="批注框文本 Char"/>
    <w:basedOn w:val="a0"/>
    <w:link w:val="a9"/>
    <w:uiPriority w:val="99"/>
    <w:semiHidden/>
    <w:qFormat/>
    <w:rPr>
      <w:rFonts w:ascii="Times New Roman" w:eastAsia="仿宋_GB2312" w:hAnsi="Times New Roman"/>
      <w:sz w:val="18"/>
      <w:szCs w:val="18"/>
    </w:rPr>
  </w:style>
  <w:style w:type="paragraph" w:customStyle="1" w:styleId="af2">
    <w:name w:val="说明"/>
    <w:basedOn w:val="a"/>
    <w:qFormat/>
    <w:pPr>
      <w:spacing w:afterLines="50" w:after="50" w:line="500" w:lineRule="exact"/>
      <w:ind w:firstLine="560"/>
    </w:pPr>
    <w:rPr>
      <w:rFonts w:ascii="宋体" w:eastAsia="楷体" w:hAnsi="宋体"/>
      <w:lang w:val="zh-CN"/>
    </w:rPr>
  </w:style>
  <w:style w:type="character" w:customStyle="1" w:styleId="Char1">
    <w:name w:val="批注文字 Char"/>
    <w:basedOn w:val="a0"/>
    <w:link w:val="a6"/>
    <w:uiPriority w:val="99"/>
    <w:semiHidden/>
    <w:qFormat/>
    <w:rPr>
      <w:rFonts w:ascii="Times New Roman" w:eastAsia="仿宋_GB2312" w:hAnsi="Times New Roman"/>
      <w:sz w:val="24"/>
    </w:rPr>
  </w:style>
  <w:style w:type="character" w:customStyle="1" w:styleId="Char7">
    <w:name w:val="批注主题 Char"/>
    <w:basedOn w:val="Char1"/>
    <w:link w:val="ad"/>
    <w:uiPriority w:val="99"/>
    <w:semiHidden/>
    <w:qFormat/>
    <w:rPr>
      <w:rFonts w:ascii="Times New Roman" w:eastAsia="仿宋_GB2312" w:hAnsi="Times New Roman"/>
      <w:b/>
      <w:bCs/>
      <w:sz w:val="24"/>
    </w:rPr>
  </w:style>
  <w:style w:type="paragraph" w:styleId="af3">
    <w:name w:val="List Paragraph"/>
    <w:basedOn w:val="a"/>
    <w:uiPriority w:val="34"/>
    <w:qFormat/>
    <w:pPr>
      <w:spacing w:afterLines="50" w:after="50" w:line="500" w:lineRule="exact"/>
      <w:ind w:firstLine="420"/>
    </w:pPr>
  </w:style>
  <w:style w:type="paragraph" w:customStyle="1" w:styleId="Default">
    <w:name w:val="Default"/>
    <w:qFormat/>
    <w:pPr>
      <w:widowControl w:val="0"/>
      <w:autoSpaceDE w:val="0"/>
      <w:autoSpaceDN w:val="0"/>
      <w:adjustRightInd w:val="0"/>
    </w:pPr>
    <w:rPr>
      <w:rFonts w:ascii="仿宋..藫冸牀." w:eastAsia="仿宋..藫冸牀." w:hAnsiTheme="minorHAnsi" w:cs="仿宋..藫冸牀."/>
      <w:color w:val="000000"/>
      <w:sz w:val="24"/>
      <w:szCs w:val="24"/>
    </w:rPr>
  </w:style>
  <w:style w:type="paragraph" w:customStyle="1" w:styleId="22">
    <w:name w:val="样式2"/>
    <w:basedOn w:val="a"/>
    <w:qFormat/>
    <w:pPr>
      <w:adjustRightInd w:val="0"/>
      <w:snapToGrid w:val="0"/>
      <w:spacing w:after="50" w:line="500" w:lineRule="exact"/>
      <w:ind w:firstLine="360"/>
    </w:pPr>
    <w:rPr>
      <w:rFonts w:ascii="宋体" w:eastAsia="宋体" w:hAnsi="宋体" w:cs="Times New Roman"/>
      <w:color w:val="FF0000"/>
      <w:kern w:val="0"/>
      <w:sz w:val="21"/>
      <w:szCs w:val="21"/>
      <w:lang w:val="zh-TW"/>
    </w:rPr>
  </w:style>
  <w:style w:type="character" w:customStyle="1" w:styleId="Char0">
    <w:name w:val="文档结构图 Char"/>
    <w:basedOn w:val="a0"/>
    <w:link w:val="a5"/>
    <w:uiPriority w:val="99"/>
    <w:semiHidden/>
    <w:qFormat/>
    <w:rPr>
      <w:rFonts w:ascii="宋体" w:eastAsia="宋体" w:hAnsi="Times New Roman"/>
      <w:sz w:val="18"/>
      <w:szCs w:val="18"/>
    </w:rPr>
  </w:style>
  <w:style w:type="paragraph" w:customStyle="1" w:styleId="11">
    <w:name w:val="修订1"/>
    <w:hidden/>
    <w:uiPriority w:val="99"/>
    <w:semiHidden/>
    <w:qFormat/>
    <w:rPr>
      <w:rFonts w:asciiTheme="minorHAnsi" w:eastAsia="仿宋_GB2312" w:hAnsiTheme="minorHAnsi" w:cstheme="minorBidi"/>
      <w:kern w:val="2"/>
      <w:sz w:val="28"/>
      <w:szCs w:val="22"/>
    </w:rPr>
  </w:style>
  <w:style w:type="paragraph" w:styleId="af4">
    <w:name w:val="No Spacing"/>
    <w:uiPriority w:val="1"/>
    <w:qFormat/>
    <w:pPr>
      <w:widowControl w:val="0"/>
      <w:spacing w:line="360" w:lineRule="auto"/>
      <w:ind w:firstLine="482"/>
      <w:jc w:val="both"/>
    </w:pPr>
    <w:rPr>
      <w:rFonts w:eastAsia="楷体" w:cstheme="minorBidi"/>
      <w:kern w:val="2"/>
      <w:sz w:val="28"/>
      <w:szCs w:val="22"/>
    </w:rPr>
  </w:style>
  <w:style w:type="paragraph" w:customStyle="1" w:styleId="TOC1">
    <w:name w:val="TOC 标题1"/>
    <w:basedOn w:val="1"/>
    <w:next w:val="a"/>
    <w:uiPriority w:val="39"/>
    <w:unhideWhenUsed/>
    <w:qFormat/>
    <w:pPr>
      <w:widowControl/>
      <w:spacing w:before="240" w:afterLines="0" w:after="0" w:line="259" w:lineRule="auto"/>
      <w:outlineLvl w:val="9"/>
    </w:pPr>
    <w:rPr>
      <w:rFonts w:asciiTheme="majorHAnsi" w:eastAsiaTheme="majorEastAsia" w:hAnsiTheme="majorHAnsi" w:cstheme="majorBidi"/>
      <w:b w:val="0"/>
      <w:bCs w:val="0"/>
      <w:color w:val="365F91" w:themeColor="accent1" w:themeShade="BF"/>
      <w:kern w:val="0"/>
      <w:szCs w:val="32"/>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2">
    <w:name w:val="正文文本 Char"/>
    <w:basedOn w:val="a0"/>
    <w:link w:val="a7"/>
    <w:uiPriority w:val="99"/>
    <w:semiHidden/>
    <w:rPr>
      <w:rFonts w:ascii="Times New Roman" w:eastAsia="仿宋" w:hAnsi="Times New Roman"/>
      <w:kern w:val="2"/>
      <w:sz w:val="32"/>
      <w:szCs w:val="22"/>
    </w:rPr>
  </w:style>
  <w:style w:type="paragraph" w:customStyle="1" w:styleId="table">
    <w:name w:val="table"/>
    <w:qFormat/>
    <w:rPr>
      <w:rFonts w:ascii="宋体" w:hAnsi="宋体" w:cstheme="minorBidi"/>
      <w:kern w:val="2"/>
      <w:sz w:val="21"/>
      <w:szCs w:val="22"/>
    </w:rPr>
  </w:style>
  <w:style w:type="paragraph" w:customStyle="1" w:styleId="23">
    <w:name w:val="修订2"/>
    <w:hidden/>
    <w:uiPriority w:val="99"/>
    <w:semiHidden/>
    <w:rPr>
      <w:rFonts w:eastAsia="仿宋" w:cstheme="minorBid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9DACF0-F0BB-442C-BE84-0F41CF77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605</Words>
  <Characters>3451</Characters>
  <Application>Microsoft Office Word</Application>
  <DocSecurity>0</DocSecurity>
  <Lines>28</Lines>
  <Paragraphs>8</Paragraphs>
  <ScaleCrop>false</ScaleCrop>
  <Company>Microsoft</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林卉</dc:creator>
  <cp:lastModifiedBy>Lhs</cp:lastModifiedBy>
  <cp:revision>2</cp:revision>
  <dcterms:created xsi:type="dcterms:W3CDTF">2022-03-28T08:57:00Z</dcterms:created>
  <dcterms:modified xsi:type="dcterms:W3CDTF">2022-03-28T08:57:00Z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224574690_btnclosed</vt:lpwstr>
  </property>
  <property fmtid="{D5CDD505-2E9C-101B-9397-08002B2CF9AE}" pid="3" name="KSOProductBuildVer">
    <vt:lpwstr>2052-11.1.0.11365</vt:lpwstr>
  </property>
  <property fmtid="{D5CDD505-2E9C-101B-9397-08002B2CF9AE}" pid="4" name="ICV">
    <vt:lpwstr>184E7354EFC44BCF81484C50EF3286B1</vt:lpwstr>
  </property>
</Properties>
</file>