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left"/>
        <w:rPr>
          <w:rFonts w:hint="eastAsia" w:ascii="黑体" w:hAnsi="黑体" w:eastAsia="黑体" w:cs="黑体"/>
          <w:sz w:val="32"/>
          <w:szCs w:val="32"/>
          <w:lang w:eastAsia="zh-CN"/>
        </w:rPr>
      </w:pPr>
      <w:bookmarkStart w:id="0" w:name="_Toc24092"/>
      <w:bookmarkStart w:id="1" w:name="_Toc130911600"/>
      <w:bookmarkStart w:id="2" w:name="_Toc23892"/>
      <w:bookmarkStart w:id="3" w:name="_Toc11888"/>
      <w:bookmarkStart w:id="4" w:name="_Toc26751"/>
      <w:bookmarkStart w:id="5" w:name="_Toc13419"/>
      <w:r>
        <w:rPr>
          <w:rFonts w:hint="eastAsia" w:ascii="黑体" w:hAnsi="黑体" w:eastAsia="黑体" w:cs="黑体"/>
          <w:sz w:val="32"/>
          <w:szCs w:val="32"/>
          <w:lang w:eastAsia="zh-CN"/>
        </w:rPr>
        <w:t>附件</w:t>
      </w:r>
    </w:p>
    <w:p>
      <w:pPr>
        <w:pStyle w:val="15"/>
      </w:pPr>
      <w:r>
        <w:rPr>
          <w:rFonts w:hint="eastAsia"/>
        </w:rPr>
        <w:t>广州市旧村庄改造实施细则</w:t>
      </w:r>
      <w:bookmarkEnd w:id="0"/>
      <w:bookmarkEnd w:id="1"/>
      <w:bookmarkEnd w:id="2"/>
      <w:bookmarkEnd w:id="3"/>
      <w:bookmarkEnd w:id="4"/>
      <w:bookmarkEnd w:id="5"/>
    </w:p>
    <w:p>
      <w:pPr>
        <w:shd w:val="clear" w:color="auto" w:fill="auto"/>
        <w:ind w:firstLine="0" w:firstLineChars="0"/>
        <w:jc w:val="center"/>
        <w:outlineLvl w:val="0"/>
        <w:rPr>
          <w:rFonts w:ascii="楷体_GB2312" w:eastAsia="楷体_GB2312"/>
          <w:szCs w:val="32"/>
        </w:rPr>
      </w:pPr>
      <w:bookmarkStart w:id="6" w:name="_Toc32362"/>
      <w:bookmarkStart w:id="7" w:name="_Toc18168"/>
      <w:bookmarkStart w:id="8" w:name="_Toc15549"/>
      <w:bookmarkStart w:id="9" w:name="_Toc7732"/>
      <w:bookmarkStart w:id="10" w:name="_Toc32655"/>
      <w:bookmarkStart w:id="11" w:name="_Toc130911601"/>
      <w:r>
        <w:rPr>
          <w:rFonts w:hint="eastAsia" w:ascii="楷体_GB2312" w:eastAsia="楷体_GB2312"/>
          <w:szCs w:val="32"/>
        </w:rPr>
        <w:t>（</w:t>
      </w:r>
      <w:r>
        <w:rPr>
          <w:rFonts w:hint="eastAsia" w:eastAsia="楷体_GB2312"/>
          <w:szCs w:val="32"/>
        </w:rPr>
        <w:t>征求意见稿</w:t>
      </w:r>
      <w:r>
        <w:rPr>
          <w:rFonts w:hint="eastAsia" w:ascii="楷体_GB2312" w:eastAsia="楷体_GB2312"/>
          <w:szCs w:val="32"/>
        </w:rPr>
        <w:t>）</w:t>
      </w:r>
      <w:bookmarkEnd w:id="6"/>
      <w:bookmarkEnd w:id="7"/>
      <w:bookmarkEnd w:id="8"/>
      <w:bookmarkEnd w:id="9"/>
      <w:bookmarkEnd w:id="10"/>
      <w:bookmarkEnd w:id="11"/>
    </w:p>
    <w:p>
      <w:pPr>
        <w:shd w:val="clear" w:color="auto" w:fill="auto"/>
        <w:spacing w:line="264" w:lineRule="auto"/>
        <w:ind w:firstLine="0" w:firstLineChars="0"/>
        <w:jc w:val="center"/>
        <w:rPr>
          <w:rFonts w:ascii="黑体" w:hAnsi="黑体" w:eastAsia="黑体"/>
          <w:szCs w:val="32"/>
        </w:rPr>
      </w:pPr>
    </w:p>
    <w:p>
      <w:pPr>
        <w:shd w:val="clear" w:color="auto" w:fill="auto"/>
        <w:spacing w:line="264" w:lineRule="auto"/>
        <w:ind w:firstLine="0" w:firstLineChars="0"/>
        <w:jc w:val="center"/>
        <w:outlineLvl w:val="0"/>
        <w:rPr>
          <w:rFonts w:ascii="黑体" w:hAnsi="黑体" w:eastAsia="黑体"/>
          <w:szCs w:val="32"/>
        </w:rPr>
      </w:pPr>
      <w:r>
        <w:rPr>
          <w:rFonts w:hint="eastAsia" w:ascii="黑体" w:hAnsi="黑体" w:eastAsia="黑体"/>
          <w:szCs w:val="32"/>
        </w:rPr>
        <w:t>第一章</w:t>
      </w:r>
      <w:r>
        <w:rPr>
          <w:rFonts w:ascii="黑体" w:hAnsi="黑体" w:eastAsia="黑体"/>
          <w:szCs w:val="32"/>
        </w:rPr>
        <w:t xml:space="preserve"> </w:t>
      </w:r>
      <w:r>
        <w:rPr>
          <w:rFonts w:hint="eastAsia" w:ascii="黑体" w:hAnsi="黑体" w:eastAsia="黑体"/>
          <w:szCs w:val="32"/>
        </w:rPr>
        <w:t>总则</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【制定目的】</w:t>
      </w:r>
    </w:p>
    <w:p>
      <w:pPr>
        <w:widowControl/>
        <w:shd w:val="clear" w:color="auto" w:fill="auto"/>
        <w:ind w:firstLine="640"/>
        <w:rPr>
          <w:szCs w:val="32"/>
        </w:rPr>
      </w:pPr>
      <w:r>
        <w:rPr>
          <w:rFonts w:hint="eastAsia"/>
          <w:szCs w:val="32"/>
        </w:rPr>
        <w:t>为进一步推进和规范本市旧村庄改造工作，促进城乡融合发展，提高节约集约用地水平，</w:t>
      </w:r>
      <w:r>
        <w:rPr>
          <w:rFonts w:hint="eastAsia"/>
        </w:rPr>
        <w:t>优化空间结构，传承历史文化，</w:t>
      </w:r>
      <w:r>
        <w:rPr>
          <w:rFonts w:hint="eastAsia"/>
          <w:szCs w:val="32"/>
        </w:rPr>
        <w:t>改善人居环境，推动经济高质量发展，根据有关法律、法规和《广东省旧城镇旧厂房旧村庄改造管理办法》《广州市旧村庄旧厂房旧城镇改造实施办法》等规章的规定，结合本市实际，制定本细则。</w:t>
      </w:r>
    </w:p>
    <w:p>
      <w:pPr>
        <w:widowControl/>
        <w:numPr>
          <w:ilvl w:val="0"/>
          <w:numId w:val="1"/>
        </w:numPr>
        <w:shd w:val="clear" w:color="auto" w:fill="auto"/>
        <w:tabs>
          <w:tab w:val="left" w:pos="0"/>
        </w:tabs>
        <w:ind w:firstLine="640"/>
        <w:outlineLvl w:val="1"/>
        <w:rPr>
          <w:rStyle w:val="32"/>
          <w:b w:val="0"/>
          <w:bCs w:val="0"/>
        </w:rPr>
      </w:pPr>
      <w:r>
        <w:rPr>
          <w:rFonts w:hint="eastAsia" w:ascii="黑体" w:hAnsi="黑体" w:eastAsia="黑体" w:cs="黑体"/>
          <w:szCs w:val="32"/>
        </w:rPr>
        <w:t>【适用范围】</w:t>
      </w:r>
    </w:p>
    <w:p>
      <w:pPr>
        <w:widowControl/>
        <w:shd w:val="clear" w:color="auto" w:fill="auto"/>
        <w:ind w:firstLine="640"/>
        <w:rPr>
          <w:rFonts w:ascii="楷体_GB2312" w:hAnsi="楷体"/>
          <w:szCs w:val="18"/>
        </w:rPr>
      </w:pPr>
      <w:r>
        <w:rPr>
          <w:rFonts w:hint="eastAsia" w:ascii="楷体_GB2312" w:hAnsi="楷体"/>
          <w:szCs w:val="18"/>
        </w:rPr>
        <w:t>本细则适用于本市行政区域内的旧村庄改造项目及其监督管理等活动。</w:t>
      </w:r>
    </w:p>
    <w:p>
      <w:pPr>
        <w:widowControl/>
        <w:shd w:val="clear" w:color="auto" w:fill="auto"/>
        <w:ind w:firstLine="640"/>
        <w:rPr>
          <w:szCs w:val="32"/>
        </w:rPr>
      </w:pPr>
      <w:r>
        <w:rPr>
          <w:rFonts w:hint="eastAsia" w:ascii="楷体_GB2312" w:hAnsi="楷体"/>
          <w:szCs w:val="18"/>
        </w:rPr>
        <w:t>前款所称的旧村庄改造项目是指在《广州市旧村庄旧厂房旧城镇改造实施办法》实施前已批复方案或者已引入合作企业的，以及其他经市人民政府确定的旧村庄改造项目。</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【资金筹措】</w:t>
      </w:r>
    </w:p>
    <w:p>
      <w:pPr>
        <w:widowControl/>
        <w:shd w:val="clear" w:color="auto" w:fill="auto"/>
        <w:ind w:firstLine="640"/>
        <w:rPr>
          <w:szCs w:val="32"/>
        </w:rPr>
      </w:pPr>
      <w:r>
        <w:rPr>
          <w:rFonts w:hint="eastAsia"/>
          <w:szCs w:val="32"/>
        </w:rPr>
        <w:t>旧村庄改造可多渠道筹集改造资金来源，包括：</w:t>
      </w:r>
    </w:p>
    <w:p>
      <w:pPr>
        <w:shd w:val="clear" w:color="auto" w:fill="auto"/>
        <w:ind w:firstLine="640"/>
        <w:rPr>
          <w:szCs w:val="32"/>
        </w:rPr>
      </w:pPr>
      <w:r>
        <w:rPr>
          <w:rFonts w:hint="eastAsia"/>
          <w:szCs w:val="32"/>
        </w:rPr>
        <w:t>（一）中央、省级补助资金；</w:t>
      </w:r>
    </w:p>
    <w:p>
      <w:pPr>
        <w:shd w:val="clear" w:color="auto" w:fill="auto"/>
        <w:ind w:firstLine="640"/>
        <w:rPr>
          <w:szCs w:val="32"/>
        </w:rPr>
      </w:pPr>
      <w:r>
        <w:rPr>
          <w:rFonts w:hint="eastAsia"/>
          <w:szCs w:val="32"/>
        </w:rPr>
        <w:t>（二）市、区财政投入的旧村庄改造资金；</w:t>
      </w:r>
    </w:p>
    <w:p>
      <w:pPr>
        <w:shd w:val="clear" w:color="auto" w:fill="auto"/>
        <w:ind w:firstLine="640"/>
        <w:rPr>
          <w:szCs w:val="32"/>
        </w:rPr>
      </w:pPr>
      <w:r>
        <w:rPr>
          <w:rFonts w:hint="eastAsia"/>
          <w:szCs w:val="32"/>
        </w:rPr>
        <w:t>（三）各级财政的新农村、文明村建设经费；</w:t>
      </w:r>
    </w:p>
    <w:p>
      <w:pPr>
        <w:shd w:val="clear" w:color="auto" w:fill="auto"/>
        <w:ind w:firstLine="640"/>
        <w:rPr>
          <w:szCs w:val="32"/>
        </w:rPr>
      </w:pPr>
      <w:r>
        <w:rPr>
          <w:rFonts w:hint="eastAsia"/>
          <w:szCs w:val="32"/>
        </w:rPr>
        <w:t>（四）参与改造的市场主体投入的旧村庄改造资金；</w:t>
      </w:r>
    </w:p>
    <w:p>
      <w:pPr>
        <w:shd w:val="clear" w:color="auto" w:fill="auto"/>
        <w:ind w:firstLine="640"/>
        <w:rPr>
          <w:szCs w:val="32"/>
        </w:rPr>
      </w:pPr>
      <w:r>
        <w:rPr>
          <w:rFonts w:hint="eastAsia"/>
          <w:szCs w:val="32"/>
        </w:rPr>
        <w:t>（五）农村集体经济组织、村民及其他原权利主体自筹旧村庄改造经费；</w:t>
      </w:r>
    </w:p>
    <w:p>
      <w:pPr>
        <w:shd w:val="clear" w:color="auto" w:fill="auto"/>
        <w:ind w:firstLine="640"/>
        <w:rPr>
          <w:szCs w:val="32"/>
        </w:rPr>
      </w:pPr>
      <w:r>
        <w:rPr>
          <w:rFonts w:hint="eastAsia"/>
          <w:szCs w:val="32"/>
        </w:rPr>
        <w:t>（六）其他符合规定的资金。</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【改造类型】</w:t>
      </w:r>
    </w:p>
    <w:p>
      <w:pPr>
        <w:widowControl/>
        <w:shd w:val="clear" w:color="auto" w:fill="auto"/>
        <w:ind w:firstLine="640"/>
        <w:rPr>
          <w:szCs w:val="32"/>
        </w:rPr>
      </w:pPr>
      <w:r>
        <w:rPr>
          <w:rFonts w:hint="eastAsia"/>
          <w:szCs w:val="32"/>
        </w:rPr>
        <w:t>旧村庄改造包括下列类型：</w:t>
      </w:r>
    </w:p>
    <w:p>
      <w:pPr>
        <w:widowControl/>
        <w:shd w:val="clear" w:color="auto" w:fill="auto"/>
        <w:ind w:firstLine="640"/>
        <w:rPr>
          <w:szCs w:val="32"/>
        </w:rPr>
      </w:pPr>
      <w:r>
        <w:rPr>
          <w:rFonts w:hint="eastAsia"/>
          <w:szCs w:val="32"/>
        </w:rPr>
        <w:t>（一）全面改造，是指以拆除新建方式对旧村庄进行再开发，或者对旧村庄实施生态修复、土地复垦；</w:t>
      </w:r>
    </w:p>
    <w:p>
      <w:pPr>
        <w:widowControl/>
        <w:shd w:val="clear" w:color="auto" w:fill="auto"/>
        <w:ind w:firstLine="640"/>
        <w:rPr>
          <w:szCs w:val="32"/>
        </w:rPr>
      </w:pPr>
      <w:r>
        <w:rPr>
          <w:rFonts w:hint="eastAsia"/>
          <w:szCs w:val="32"/>
        </w:rPr>
        <w:t>（二）微改造，是指在</w:t>
      </w:r>
      <w:bookmarkStart w:id="12" w:name="_Hlk161787228"/>
      <w:r>
        <w:rPr>
          <w:rFonts w:hint="eastAsia"/>
          <w:szCs w:val="32"/>
        </w:rPr>
        <w:t>维持现状建设格局基本不变的</w:t>
      </w:r>
      <w:bookmarkEnd w:id="12"/>
      <w:r>
        <w:rPr>
          <w:rFonts w:hint="eastAsia"/>
          <w:szCs w:val="32"/>
        </w:rPr>
        <w:t>前提下，以建筑局部拆建、改变功能、整饰修缮、完善公共设施和消防设施等方式对旧村庄进行整治提升；</w:t>
      </w:r>
    </w:p>
    <w:p>
      <w:pPr>
        <w:widowControl/>
        <w:shd w:val="clear" w:color="auto" w:fill="auto"/>
        <w:ind w:firstLine="640"/>
        <w:rPr>
          <w:rFonts w:ascii="等线"/>
          <w:szCs w:val="32"/>
        </w:rPr>
      </w:pPr>
      <w:r>
        <w:rPr>
          <w:rFonts w:hint="eastAsia" w:ascii="等线"/>
          <w:szCs w:val="32"/>
        </w:rPr>
        <w:t>（三）混合改造，是指全面改造和微改造相结合的类型。</w:t>
      </w:r>
    </w:p>
    <w:p>
      <w:pPr>
        <w:widowControl/>
        <w:shd w:val="clear" w:color="auto" w:fill="auto"/>
        <w:ind w:firstLine="640"/>
        <w:rPr>
          <w:szCs w:val="32"/>
        </w:rPr>
      </w:pPr>
      <w:r>
        <w:rPr>
          <w:rFonts w:hint="eastAsia"/>
          <w:szCs w:val="32"/>
        </w:rPr>
        <w:t>旧村庄改造涉及历史城区、历史文化街区、历史文化名镇、历史文化名村、历史风貌区、</w:t>
      </w:r>
      <w:bookmarkStart w:id="13" w:name="_Hlk161779082"/>
      <w:r>
        <w:rPr>
          <w:rFonts w:hint="eastAsia"/>
          <w:szCs w:val="32"/>
        </w:rPr>
        <w:t>工业遗产、</w:t>
      </w:r>
      <w:bookmarkEnd w:id="13"/>
      <w:r>
        <w:rPr>
          <w:rFonts w:hint="eastAsia"/>
          <w:szCs w:val="32"/>
        </w:rPr>
        <w:t>传统村落保护的，保护范围内不适用全面改造，原则上以现状保留及微改造为主。</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【旧村庄全面改造模式】</w:t>
      </w:r>
    </w:p>
    <w:p>
      <w:pPr>
        <w:widowControl/>
        <w:shd w:val="clear" w:color="auto" w:fill="auto"/>
        <w:ind w:firstLine="640"/>
        <w:rPr>
          <w:szCs w:val="32"/>
        </w:rPr>
      </w:pPr>
      <w:r>
        <w:rPr>
          <w:rFonts w:hint="eastAsia"/>
          <w:szCs w:val="32"/>
        </w:rPr>
        <w:t>旧村庄全面改造主要包括以下模式：</w:t>
      </w:r>
    </w:p>
    <w:p>
      <w:pPr>
        <w:widowControl/>
        <w:shd w:val="clear" w:color="auto" w:fill="auto"/>
        <w:ind w:firstLine="640"/>
        <w:rPr>
          <w:szCs w:val="32"/>
        </w:rPr>
      </w:pPr>
      <w:r>
        <w:rPr>
          <w:rFonts w:hint="eastAsia"/>
          <w:szCs w:val="32"/>
        </w:rPr>
        <w:t>（一）</w:t>
      </w:r>
      <w:r>
        <w:rPr>
          <w:rFonts w:hint="eastAsia" w:cs="仿宋"/>
          <w:bCs/>
          <w:szCs w:val="28"/>
        </w:rPr>
        <w:t>政府主导改造。</w:t>
      </w:r>
      <w:r>
        <w:rPr>
          <w:rFonts w:hint="eastAsia"/>
          <w:szCs w:val="32"/>
        </w:rPr>
        <w:t>由政府整理土地，负责村民住宅和农村集体经济组织物业安置补偿，整理的土地纳入储备后用于市政公用设施建设或实施公开出让，由受让人按照规划开发建设，农村集体经济组织不参与土地出让收益分成。</w:t>
      </w:r>
    </w:p>
    <w:p>
      <w:pPr>
        <w:shd w:val="clear" w:color="auto" w:fill="auto"/>
        <w:ind w:firstLine="640"/>
        <w:rPr>
          <w:szCs w:val="32"/>
        </w:rPr>
      </w:pPr>
      <w:r>
        <w:rPr>
          <w:rFonts w:hint="eastAsia"/>
          <w:szCs w:val="32"/>
        </w:rPr>
        <w:t>（二）合作改造。在区人民政府审核公布实施项目基础数据调查成果或取得片区策划方案批复后，由农村集体经济组织通过市公共资源交易平台或具备农村产权交易资质的机构或所在区一级农村集体资产交易服务机构公开招商引入开发企业合作参与改造；或者通过土地公开出让引入合作企业进行改造。</w:t>
      </w:r>
    </w:p>
    <w:p>
      <w:pPr>
        <w:shd w:val="clear" w:color="auto" w:fill="auto"/>
        <w:ind w:firstLine="640"/>
        <w:rPr>
          <w:szCs w:val="32"/>
        </w:rPr>
      </w:pPr>
      <w:r>
        <w:rPr>
          <w:rFonts w:hint="eastAsia"/>
          <w:szCs w:val="32"/>
        </w:rPr>
        <w:t>（三）自主改造。由农村集体经济组织根据批复的项目实施方案自行</w:t>
      </w:r>
      <w:r>
        <w:rPr>
          <w:rFonts w:hint="eastAsia" w:ascii="等线" w:hAnsi="等线"/>
          <w:szCs w:val="32"/>
        </w:rPr>
        <w:t>实施改造</w:t>
      </w:r>
      <w:r>
        <w:rPr>
          <w:rFonts w:hint="eastAsia"/>
          <w:szCs w:val="32"/>
        </w:rPr>
        <w:t>。</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【查处违法用地、违法建设】</w:t>
      </w:r>
      <w:r>
        <w:rPr>
          <w:rFonts w:ascii="黑体" w:hAnsi="黑体" w:eastAsia="黑体" w:cs="黑体"/>
          <w:szCs w:val="32"/>
        </w:rPr>
        <w:t xml:space="preserve"> </w:t>
      </w:r>
    </w:p>
    <w:p>
      <w:pPr>
        <w:shd w:val="clear" w:color="auto" w:fill="auto"/>
        <w:ind w:firstLine="640"/>
        <w:rPr>
          <w:szCs w:val="32"/>
        </w:rPr>
      </w:pPr>
      <w:r>
        <w:rPr>
          <w:rFonts w:hint="eastAsia"/>
          <w:szCs w:val="32"/>
        </w:rPr>
        <w:t>旧村庄改造实施工作应当与查处违法用地、农村村民非法占用土地建住宅、违法建设相结合。区人民政府应当建立有效机制，杜绝新增违法用地、农村村民非法占用土地建住宅、违法建设，加大对现状违法用地、农村村民非法占用土地建住宅、违法建设的查处。</w:t>
      </w:r>
    </w:p>
    <w:p>
      <w:pPr>
        <w:shd w:val="clear" w:color="auto" w:fill="auto"/>
        <w:ind w:firstLine="640"/>
        <w:rPr>
          <w:szCs w:val="32"/>
        </w:rPr>
      </w:pPr>
      <w:r>
        <w:rPr>
          <w:rFonts w:hint="eastAsia"/>
          <w:szCs w:val="32"/>
        </w:rPr>
        <w:t>镇人民政府、街道办事处应当开展对辖区内违法用地、农村村民非法占用土地建住宅、违法建设的日常巡查、发现、制止、拆除、报告等工作，及时有效制止违法用地、农村村民非法占用土地建住宅、违法建设行为。</w:t>
      </w:r>
    </w:p>
    <w:p>
      <w:pPr>
        <w:shd w:val="clear" w:color="auto" w:fill="auto"/>
        <w:ind w:firstLine="640"/>
        <w:rPr>
          <w:szCs w:val="32"/>
        </w:rPr>
      </w:pPr>
      <w:r>
        <w:rPr>
          <w:rFonts w:hint="eastAsia"/>
          <w:szCs w:val="32"/>
        </w:rPr>
        <w:t>村民委员会、农村集体经济组织应当自觉加强对本村村民建房的管理，保障农村集体经济组织共同利益。</w:t>
      </w:r>
    </w:p>
    <w:p>
      <w:pPr>
        <w:shd w:val="clear" w:color="auto" w:fill="auto"/>
        <w:ind w:firstLine="640"/>
        <w:rPr>
          <w:szCs w:val="32"/>
        </w:rPr>
      </w:pPr>
    </w:p>
    <w:p>
      <w:pPr>
        <w:shd w:val="clear" w:color="auto" w:fill="auto"/>
        <w:spacing w:line="264" w:lineRule="auto"/>
        <w:ind w:firstLine="0" w:firstLineChars="0"/>
        <w:jc w:val="center"/>
        <w:outlineLvl w:val="0"/>
        <w:rPr>
          <w:rFonts w:ascii="黑体" w:hAnsi="黑体" w:eastAsia="黑体"/>
          <w:szCs w:val="32"/>
        </w:rPr>
      </w:pPr>
      <w:r>
        <w:rPr>
          <w:rFonts w:hint="eastAsia" w:ascii="黑体" w:hAnsi="黑体" w:eastAsia="黑体"/>
          <w:szCs w:val="32"/>
        </w:rPr>
        <w:t>第二章</w:t>
      </w:r>
      <w:r>
        <w:rPr>
          <w:rFonts w:ascii="黑体" w:hAnsi="黑体" w:eastAsia="黑体"/>
          <w:szCs w:val="32"/>
        </w:rPr>
        <w:t xml:space="preserve"> </w:t>
      </w:r>
      <w:r>
        <w:rPr>
          <w:rFonts w:hint="eastAsia" w:ascii="黑体" w:hAnsi="黑体" w:eastAsia="黑体"/>
          <w:szCs w:val="32"/>
        </w:rPr>
        <w:t>改造策划</w:t>
      </w:r>
    </w:p>
    <w:p>
      <w:pPr>
        <w:widowControl/>
        <w:numPr>
          <w:ilvl w:val="0"/>
          <w:numId w:val="1"/>
        </w:numPr>
        <w:shd w:val="clear" w:color="auto" w:fill="auto"/>
        <w:tabs>
          <w:tab w:val="left" w:pos="0"/>
        </w:tabs>
        <w:ind w:firstLine="640"/>
        <w:outlineLvl w:val="1"/>
        <w:rPr>
          <w:rFonts w:ascii="黑体" w:hAnsi="黑体" w:eastAsia="黑体"/>
          <w:szCs w:val="32"/>
        </w:rPr>
      </w:pPr>
      <w:r>
        <w:rPr>
          <w:rFonts w:hint="eastAsia" w:ascii="黑体" w:hAnsi="黑体" w:eastAsia="黑体"/>
          <w:szCs w:val="32"/>
        </w:rPr>
        <w:t>【计划管理】</w:t>
      </w:r>
    </w:p>
    <w:p>
      <w:pPr>
        <w:ind w:firstLine="640"/>
      </w:pPr>
      <w:r>
        <w:rPr>
          <w:rFonts w:hint="eastAsia"/>
          <w:szCs w:val="28"/>
        </w:rPr>
        <w:t>旧村庄改造项目</w:t>
      </w:r>
      <w:r>
        <w:rPr>
          <w:rFonts w:hint="eastAsia"/>
        </w:rPr>
        <w:t>纳入项目储备库后，方可按照有关规定推进片区策划方案编制与审核、基础数据调查与核查、引入合作企业、项目实施方案编制与审核等前期工作；符合条件的，可按程序纳入项目年度计划。未纳入项目年度计划的</w:t>
      </w:r>
      <w:r>
        <w:rPr>
          <w:rFonts w:hint="eastAsia"/>
          <w:szCs w:val="28"/>
        </w:rPr>
        <w:t>旧村庄改造</w:t>
      </w:r>
      <w:r>
        <w:rPr>
          <w:rFonts w:hint="eastAsia"/>
        </w:rPr>
        <w:t>项目，片区策划方案和项目实施方案不得审批。</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【片区策划】</w:t>
      </w:r>
    </w:p>
    <w:p>
      <w:pPr>
        <w:shd w:val="clear" w:color="auto" w:fill="auto"/>
        <w:ind w:firstLine="640"/>
        <w:rPr>
          <w:szCs w:val="32"/>
        </w:rPr>
      </w:pPr>
      <w:r>
        <w:rPr>
          <w:rFonts w:hint="eastAsia"/>
          <w:szCs w:val="32"/>
        </w:rPr>
        <w:t>“三旧”改造实施片区包括旧村庄改造的，片区策划方案应开展旧村庄改造经济可行性、规划实施可行性的评估，明确旧村庄改造范围、发展策略、产业方向、改造类型和改造模式、利益平衡、政策性住房配置情况、改造效益等内容。</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【基础数据】</w:t>
      </w:r>
    </w:p>
    <w:p>
      <w:pPr>
        <w:widowControl/>
        <w:shd w:val="clear" w:color="auto" w:fill="auto"/>
        <w:ind w:firstLine="640"/>
        <w:rPr>
          <w:szCs w:val="32"/>
        </w:rPr>
      </w:pPr>
      <w:r>
        <w:rPr>
          <w:rFonts w:hint="eastAsia"/>
          <w:szCs w:val="32"/>
        </w:rPr>
        <w:t>片区策划方案应当根据城市更新基础数据库中的相关基础数据编制。</w:t>
      </w:r>
    </w:p>
    <w:p>
      <w:pPr>
        <w:shd w:val="clear" w:color="auto" w:fill="auto"/>
        <w:ind w:firstLine="640"/>
        <w:rPr>
          <w:szCs w:val="32"/>
        </w:rPr>
      </w:pPr>
      <w:r>
        <w:rPr>
          <w:rFonts w:hint="eastAsia"/>
          <w:szCs w:val="32"/>
        </w:rPr>
        <w:t>城市更新基础数据库中相关数据尚不健全的，由区人民政府牵头负责，组织开展调查工作，完善土地、房屋、人口、经济、产业、文化遗存、古树名木、公建配套及市政设施等现状基础数据。</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【改造范围】</w:t>
      </w:r>
    </w:p>
    <w:p>
      <w:pPr>
        <w:widowControl/>
        <w:shd w:val="clear" w:color="auto" w:fill="auto"/>
        <w:ind w:firstLine="640"/>
        <w:rPr>
          <w:szCs w:val="32"/>
        </w:rPr>
      </w:pPr>
      <w:r>
        <w:rPr>
          <w:rFonts w:hint="eastAsia" w:ascii="楷体_GB2312" w:hAnsi="楷体"/>
          <w:szCs w:val="18"/>
        </w:rPr>
        <w:t>片区策划方案应当确定旧村庄改造范围，</w:t>
      </w:r>
      <w:r>
        <w:rPr>
          <w:rFonts w:hint="eastAsia"/>
          <w:szCs w:val="32"/>
        </w:rPr>
        <w:t>旧村庄改造范围由区人民政府会同市住房城乡建设行政主管部门按以下原则确定：</w:t>
      </w:r>
    </w:p>
    <w:p>
      <w:pPr>
        <w:widowControl/>
        <w:shd w:val="clear" w:color="auto" w:fill="auto"/>
        <w:ind w:firstLine="640"/>
        <w:rPr>
          <w:szCs w:val="32"/>
        </w:rPr>
      </w:pPr>
      <w:r>
        <w:rPr>
          <w:rFonts w:hint="eastAsia"/>
          <w:szCs w:val="32"/>
        </w:rPr>
        <w:t>（一）以自然村（经济社）、行政村或经村改居的原旧村（经济联社）</w:t>
      </w:r>
      <w:r>
        <w:rPr>
          <w:rFonts w:hint="eastAsia" w:ascii="楷体_GB2312" w:hAnsi="楷体"/>
          <w:szCs w:val="18"/>
        </w:rPr>
        <w:t>的建设用地范围</w:t>
      </w:r>
      <w:r>
        <w:rPr>
          <w:rFonts w:hint="eastAsia"/>
          <w:szCs w:val="32"/>
        </w:rPr>
        <w:t>为基础，结合省“三旧”改造地块数据库范围，根据该集体经济组织集体土地所有权权属范围、土地利用现状图、土地调查影像图、国土空间总体规划图叠加信息，合理确定旧村庄改造范围。国营农（林）场、农工商公司等参照农村集体经济组织管理模式的，其用地可参照本细则纳入旧村庄改造范围。</w:t>
      </w:r>
    </w:p>
    <w:p>
      <w:pPr>
        <w:widowControl/>
        <w:shd w:val="clear" w:color="auto" w:fill="auto"/>
        <w:ind w:firstLine="640"/>
      </w:pPr>
      <w:r>
        <w:rPr>
          <w:rFonts w:hint="eastAsia"/>
        </w:rPr>
        <w:t>（二）旧村庄在全面改造项目用地范围原则上以旧村庄的建设用地范围为基础，属于村集体（含该村属下经济合作社）权属范围的用地应当全部纳入改造，可以结合所在地块的特点和周边路网结构，合理整合周边低效用地，实施连片整体改造。</w:t>
      </w:r>
    </w:p>
    <w:p>
      <w:pPr>
        <w:ind w:firstLine="640"/>
        <w:rPr>
          <w:rFonts w:ascii="楷体"/>
        </w:rPr>
      </w:pPr>
      <w:r>
        <w:rPr>
          <w:rFonts w:hint="eastAsia"/>
        </w:rPr>
        <w:t>（三）村集体有留用地指标欠账的，可通过留用地落地的方式将符合国土空间规划的村集体土地纳入旧村庄改造范围。</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【改造类型和模式的确定】</w:t>
      </w:r>
    </w:p>
    <w:p>
      <w:pPr>
        <w:widowControl/>
        <w:shd w:val="clear" w:color="auto" w:fill="auto"/>
        <w:ind w:firstLine="640"/>
        <w:rPr>
          <w:szCs w:val="32"/>
        </w:rPr>
      </w:pPr>
      <w:r>
        <w:rPr>
          <w:rFonts w:hint="eastAsia"/>
          <w:szCs w:val="32"/>
        </w:rPr>
        <w:t>旧村庄改造类型、改造模式应当经农村集体经济组织成员大会表决确定。</w:t>
      </w:r>
    </w:p>
    <w:p>
      <w:pPr>
        <w:shd w:val="clear" w:color="auto" w:fill="auto"/>
        <w:ind w:firstLine="640"/>
        <w:rPr>
          <w:szCs w:val="32"/>
        </w:rPr>
      </w:pPr>
      <w:r>
        <w:rPr>
          <w:rFonts w:hint="eastAsia"/>
          <w:szCs w:val="32"/>
        </w:rPr>
        <w:t>对位于城市重点功能区、完善城市功能和提升产业结构有较大影响，通过微改造或混合改造难以改善居住环境的旧村庄，可以确定为全面改造；对具有历史文化保护价值或基本符合国土空间规划要求的旧村庄，可以确定为微改造。</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【复建安置总量】</w:t>
      </w:r>
    </w:p>
    <w:p>
      <w:pPr>
        <w:ind w:firstLine="640"/>
      </w:pPr>
      <w:r>
        <w:rPr>
          <w:rFonts w:hint="eastAsia"/>
        </w:rPr>
        <w:t>片区策划方案应当综合人口、户籍、现状建筑量等因素，以不突破规划可承载能力，保障改造切实可行为原则，核定旧村庄改造复建安置总量。住宅复建安置总量可以按照“栋”“户”或者“人”，其中一种的方式进行核定；集体经济组织物业复建总量可以按照现有建筑面积或者用地范围，其中一种的方式进行核定。经审定的片区策划方案确定的复建安置总量核算方式不得变更，复建安置总量不得突破。具体复建安置总量核定按照旧村庄改造成本核算有关标准执行。</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【改造成本】</w:t>
      </w:r>
    </w:p>
    <w:p>
      <w:pPr>
        <w:widowControl/>
        <w:shd w:val="clear" w:color="auto" w:fill="auto"/>
        <w:ind w:firstLine="640"/>
        <w:rPr>
          <w:szCs w:val="32"/>
        </w:rPr>
      </w:pPr>
      <w:r>
        <w:rPr>
          <w:rFonts w:hint="eastAsia"/>
          <w:szCs w:val="32"/>
        </w:rPr>
        <w:t>片区策划方案应当核算旧村庄改造成本，可以核算的改造成本包括前期费用、拆迁费用、复建费用、其他费用、不可预见费、拆迁奖励、审批时测算的土地出让金等。</w:t>
      </w:r>
    </w:p>
    <w:p>
      <w:pPr>
        <w:widowControl/>
        <w:shd w:val="clear" w:color="auto" w:fill="auto"/>
        <w:ind w:firstLine="640"/>
        <w:rPr>
          <w:szCs w:val="32"/>
        </w:rPr>
      </w:pPr>
      <w:r>
        <w:rPr>
          <w:rFonts w:hint="eastAsia"/>
          <w:szCs w:val="32"/>
        </w:rPr>
        <w:t>市住房城乡建设行政主管部门应当建立健全旧村庄改造成本核算标准，并参考房地产市场价格及工程费用变化动态调整。</w:t>
      </w:r>
    </w:p>
    <w:p>
      <w:pPr>
        <w:widowControl/>
        <w:numPr>
          <w:ilvl w:val="0"/>
          <w:numId w:val="1"/>
        </w:numPr>
        <w:shd w:val="clear" w:color="auto" w:fill="auto"/>
        <w:tabs>
          <w:tab w:val="left" w:pos="0"/>
        </w:tabs>
        <w:ind w:firstLine="640"/>
        <w:outlineLvl w:val="1"/>
        <w:rPr>
          <w:rFonts w:ascii="黑体" w:hAnsi="黑体" w:eastAsia="黑体" w:cs="黑体"/>
          <w:szCs w:val="32"/>
        </w:rPr>
      </w:pPr>
      <w:r>
        <w:rPr>
          <w:rFonts w:hint="eastAsia" w:ascii="黑体" w:hAnsi="黑体" w:eastAsia="黑体" w:cs="黑体"/>
          <w:szCs w:val="32"/>
        </w:rPr>
        <w:t>【融资楼面地价】</w:t>
      </w:r>
    </w:p>
    <w:p>
      <w:pPr>
        <w:widowControl/>
        <w:shd w:val="clear" w:color="auto" w:fill="auto"/>
        <w:ind w:firstLine="640"/>
        <w:rPr>
          <w:szCs w:val="32"/>
        </w:rPr>
      </w:pPr>
      <w:r>
        <w:rPr>
          <w:rFonts w:hint="eastAsia"/>
          <w:szCs w:val="32"/>
        </w:rPr>
        <w:t>旧村庄改造项目按照市场评估价确定融资楼面地价，融资楼面地价评估应当充分考虑项目拆迁补偿安置、开发周期等综合因素。融资楼面地价应为提交城市更新领导机构审议前</w:t>
      </w:r>
      <w:r>
        <w:rPr>
          <w:szCs w:val="32"/>
        </w:rPr>
        <w:t>12</w:t>
      </w:r>
      <w:r>
        <w:rPr>
          <w:rFonts w:hint="eastAsia"/>
          <w:szCs w:val="32"/>
        </w:rPr>
        <w:t>个月内的市场评估价。</w:t>
      </w:r>
    </w:p>
    <w:p>
      <w:pPr>
        <w:widowControl/>
        <w:shd w:val="clear" w:color="auto" w:fill="auto"/>
        <w:ind w:firstLine="640"/>
        <w:rPr>
          <w:szCs w:val="32"/>
        </w:rPr>
      </w:pPr>
      <w:r>
        <w:rPr>
          <w:rFonts w:hint="eastAsia"/>
        </w:rPr>
        <w:t>区“三旧”改造部门</w:t>
      </w:r>
      <w:r>
        <w:rPr>
          <w:rFonts w:hint="eastAsia"/>
          <w:szCs w:val="32"/>
        </w:rPr>
        <w:t>或区人民政府指定单位，委托有资质的评估机构评估开展融资楼面地价评估，并会同区土地主管部门进行评审。经评审通过且在有效期内评估结果可作为的片区策划方案和项目实施方案的融资楼面地价，</w:t>
      </w:r>
      <w:r>
        <w:rPr>
          <w:rFonts w:hint="eastAsia"/>
        </w:rPr>
        <w:t>测算融资面积</w:t>
      </w:r>
      <w:r>
        <w:rPr>
          <w:rFonts w:hint="eastAsia"/>
          <w:szCs w:val="32"/>
        </w:rPr>
        <w:t>。</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【经济测算】</w:t>
      </w:r>
    </w:p>
    <w:p>
      <w:pPr>
        <w:ind w:firstLine="640"/>
      </w:pPr>
      <w:r>
        <w:rPr>
          <w:rFonts w:hint="eastAsia"/>
        </w:rPr>
        <w:t>片区策划方案应当按照改造成本与收益基本平衡的原则开展经济测算，经济测算应综合考虑复建安置总量、旧村庄改造成本和融资楼面地价等因素，提出合理的融资建设量。</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【片区策划方案编制及报批】</w:t>
      </w:r>
    </w:p>
    <w:p>
      <w:pPr>
        <w:ind w:firstLine="640"/>
      </w:pPr>
      <w:r>
        <w:rPr>
          <w:rFonts w:hint="eastAsia"/>
        </w:rPr>
        <w:t>片区策划方案编制阶段，区人民政府应当组织区“三旧”改造部门、属地镇（街道）就改造意愿、改造类型、改造模式、复建安置总量核定方式等，以座谈、问卷、代表会议等多种方式充分征求改造范围内业主意见。</w:t>
      </w:r>
    </w:p>
    <w:p>
      <w:pPr>
        <w:ind w:firstLine="640"/>
      </w:pPr>
      <w:r>
        <w:rPr>
          <w:rFonts w:hint="eastAsia"/>
        </w:rPr>
        <w:t>区人民政府组织编制片区策划方案，报市住房城乡建设行政主管部门审查，经市住房城乡建设行政主管部门组织市有关职能部门进行联合审查后，报市城市更新领导机构审定。</w:t>
      </w:r>
    </w:p>
    <w:p>
      <w:pPr>
        <w:shd w:val="clear" w:color="auto" w:fill="auto"/>
        <w:ind w:firstLine="640"/>
        <w:rPr>
          <w:szCs w:val="32"/>
        </w:rPr>
      </w:pPr>
    </w:p>
    <w:p>
      <w:pPr>
        <w:shd w:val="clear" w:color="auto" w:fill="auto"/>
        <w:spacing w:line="264" w:lineRule="auto"/>
        <w:ind w:firstLine="640"/>
        <w:jc w:val="center"/>
        <w:outlineLvl w:val="0"/>
        <w:rPr>
          <w:rFonts w:ascii="黑体" w:hAnsi="黑体" w:eastAsia="黑体"/>
          <w:szCs w:val="32"/>
        </w:rPr>
      </w:pPr>
      <w:r>
        <w:rPr>
          <w:rFonts w:hint="eastAsia" w:ascii="黑体" w:hAnsi="黑体" w:eastAsia="黑体"/>
          <w:szCs w:val="32"/>
        </w:rPr>
        <w:t>第三章</w:t>
      </w:r>
      <w:r>
        <w:rPr>
          <w:rFonts w:ascii="黑体" w:hAnsi="黑体" w:eastAsia="黑体"/>
          <w:szCs w:val="32"/>
        </w:rPr>
        <w:t xml:space="preserve"> </w:t>
      </w:r>
      <w:r>
        <w:rPr>
          <w:rFonts w:hint="eastAsia" w:ascii="黑体" w:hAnsi="黑体" w:eastAsia="黑体"/>
          <w:szCs w:val="32"/>
        </w:rPr>
        <w:t>项目实施方案</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【项目实施方案的编制】</w:t>
      </w:r>
    </w:p>
    <w:p>
      <w:pPr>
        <w:widowControl/>
        <w:shd w:val="clear" w:color="auto" w:fill="auto"/>
        <w:ind w:firstLine="640"/>
        <w:rPr>
          <w:szCs w:val="32"/>
        </w:rPr>
      </w:pPr>
      <w:r>
        <w:rPr>
          <w:rFonts w:hint="eastAsia"/>
          <w:szCs w:val="32"/>
        </w:rPr>
        <w:t>区人民政府负责组织编制旧村庄改造项目实施方案。项目实施方案应当委托具有乙级以上规划资质的规划设计单位编制。</w:t>
      </w:r>
    </w:p>
    <w:p>
      <w:pPr>
        <w:widowControl/>
        <w:shd w:val="clear" w:color="auto" w:fill="auto"/>
        <w:ind w:firstLine="640"/>
        <w:rPr>
          <w:szCs w:val="32"/>
        </w:rPr>
      </w:pPr>
      <w:r>
        <w:rPr>
          <w:rFonts w:hint="eastAsia"/>
          <w:szCs w:val="32"/>
        </w:rPr>
        <w:t>项目实施方案应当以经区人民政府公布的基础数据为基础，根据片区策划方案和国土空间详细规划编制。项目实施方案应当明确基础数据调查成果、改造范围、改造主体、改造类型、改造模式、实施主体、复建和融资建筑量、改造成本、产业项目、用地整合、</w:t>
      </w:r>
      <w:r>
        <w:rPr>
          <w:rFonts w:hint="eastAsia" w:ascii="等线" w:hAnsi="等线"/>
          <w:szCs w:val="32"/>
        </w:rPr>
        <w:t>搬</w:t>
      </w:r>
      <w:r>
        <w:rPr>
          <w:rFonts w:hint="eastAsia"/>
          <w:szCs w:val="32"/>
        </w:rPr>
        <w:t>迁补偿安置的原则和标准、建设时序、政策性住房及复建安置区中小户型租赁住房配置情况、配套公共服务设施移交、历史文化遗产与古树名木的调查及保护利用措施、社会稳定风险评估等内容。</w:t>
      </w:r>
    </w:p>
    <w:p>
      <w:pPr>
        <w:widowControl/>
        <w:shd w:val="clear" w:color="auto" w:fill="auto"/>
        <w:ind w:firstLine="640"/>
        <w:rPr>
          <w:szCs w:val="32"/>
        </w:rPr>
      </w:pPr>
      <w:r>
        <w:rPr>
          <w:rFonts w:hint="eastAsia"/>
          <w:szCs w:val="32"/>
        </w:rPr>
        <w:t>项目实施方案编制阶段，区政府组织</w:t>
      </w:r>
      <w:r>
        <w:rPr>
          <w:rFonts w:hint="eastAsia"/>
          <w:shd w:val="clear" w:color="auto" w:fill="FFFFFF"/>
        </w:rPr>
        <w:t>开展地籍调查（土地勘测定界）工作</w:t>
      </w:r>
      <w:r>
        <w:rPr>
          <w:rFonts w:hint="eastAsia"/>
          <w:szCs w:val="32"/>
        </w:rPr>
        <w:t>，形成土地勘测定界技术报告。由区规划和自然资源部门对已确权或取得合法用地批文的土地和房屋，出具土地、房屋产权登记查册表或用地证明文件，对没有确权或没有取得合法用地批文但办理过规划报建手续的土地和房屋出具意见。由城管部门会同规划和自然资源部门、属地镇（街道）对没有规划、国土批准文件的土地和房屋出具意见。</w:t>
      </w:r>
    </w:p>
    <w:p>
      <w:pPr>
        <w:widowControl/>
        <w:shd w:val="clear" w:color="auto" w:fill="auto"/>
        <w:ind w:firstLine="640"/>
        <w:rPr>
          <w:szCs w:val="32"/>
        </w:rPr>
      </w:pPr>
      <w:r>
        <w:rPr>
          <w:rFonts w:hint="eastAsia" w:ascii="楷体_GB2312" w:hAnsi="楷体"/>
          <w:szCs w:val="18"/>
        </w:rPr>
        <w:t>项目实施方案包含搬迁补偿安置方案。</w:t>
      </w:r>
      <w:r>
        <w:rPr>
          <w:rFonts w:hint="eastAsia" w:ascii="等线" w:hAnsi="等线"/>
          <w:szCs w:val="32"/>
        </w:rPr>
        <w:t>搬迁</w:t>
      </w:r>
      <w:r>
        <w:rPr>
          <w:rFonts w:hint="eastAsia"/>
          <w:szCs w:val="32"/>
        </w:rPr>
        <w:t>补偿安置方案的原则和标准参照本市农民集体所有土地征收补偿和村庄规划建设管理的有关规定执行，涉及收回国有土地使用权的，参照本市国有土地征收补偿安置有关规定执行。</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【项目实施方案的论证】</w:t>
      </w:r>
    </w:p>
    <w:p>
      <w:pPr>
        <w:widowControl/>
        <w:shd w:val="clear" w:color="auto" w:fill="auto"/>
        <w:ind w:firstLine="640"/>
        <w:rPr>
          <w:szCs w:val="32"/>
        </w:rPr>
      </w:pPr>
      <w:r>
        <w:rPr>
          <w:rFonts w:hint="eastAsia"/>
          <w:szCs w:val="32"/>
        </w:rPr>
        <w:t>区人民政府应当组织专家对项目实施方案的经济性、可行性和实施风险进行论证，提出相应完善措施，并根据专家论证意见组织修改形成项目实施方案征求意见稿。</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【项目实施方案征求意见征询】</w:t>
      </w:r>
    </w:p>
    <w:p>
      <w:pPr>
        <w:widowControl/>
        <w:shd w:val="clear" w:color="auto" w:fill="auto"/>
        <w:ind w:firstLine="640"/>
        <w:rPr>
          <w:szCs w:val="32"/>
        </w:rPr>
      </w:pPr>
      <w:r>
        <w:rPr>
          <w:rFonts w:hint="eastAsia"/>
          <w:szCs w:val="32"/>
        </w:rPr>
        <w:t>项目实施方案征求意见稿应当向相关农村集体经济组织、村民和相关权属人征求意见，公开征求意见时间不得少于</w:t>
      </w:r>
      <w:r>
        <w:rPr>
          <w:szCs w:val="32"/>
        </w:rPr>
        <w:t>30</w:t>
      </w:r>
      <w:r>
        <w:rPr>
          <w:rFonts w:hint="eastAsia"/>
          <w:szCs w:val="32"/>
        </w:rPr>
        <w:t>日。农村集体经济组织、村民和相关权属人可以就项目实施方案征求意见稿提出意见和建议。</w:t>
      </w:r>
    </w:p>
    <w:p>
      <w:pPr>
        <w:shd w:val="clear" w:color="auto" w:fill="auto"/>
        <w:ind w:firstLine="640"/>
        <w:rPr>
          <w:szCs w:val="32"/>
        </w:rPr>
      </w:pPr>
      <w:r>
        <w:rPr>
          <w:rFonts w:hint="eastAsia"/>
          <w:szCs w:val="32"/>
        </w:rPr>
        <w:t>区人民政府应当就项目实施方案征求意见稿征求市、区相关单位意见。征求意见后，区人民政府应当综合研究，充分听取各方意见，修改完善项目实施方案，</w:t>
      </w:r>
      <w:r>
        <w:rPr>
          <w:rFonts w:hint="eastAsia" w:ascii="楷体_GB2312" w:hAnsi="楷体"/>
          <w:szCs w:val="18"/>
        </w:rPr>
        <w:t>形成</w:t>
      </w:r>
      <w:r>
        <w:rPr>
          <w:rFonts w:hint="eastAsia"/>
          <w:szCs w:val="32"/>
        </w:rPr>
        <w:t>项目实施方案村民表决稿。</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【项目实施方案民主表决】</w:t>
      </w:r>
    </w:p>
    <w:p>
      <w:pPr>
        <w:widowControl/>
        <w:shd w:val="clear" w:color="auto" w:fill="auto"/>
        <w:ind w:firstLine="640"/>
        <w:rPr>
          <w:rFonts w:ascii="楷体_GB2312" w:hAnsi="楷体"/>
          <w:szCs w:val="18"/>
        </w:rPr>
      </w:pPr>
      <w:r>
        <w:rPr>
          <w:rFonts w:hint="eastAsia" w:ascii="楷体_GB2312" w:hAnsi="楷体"/>
          <w:szCs w:val="18"/>
        </w:rPr>
        <w:t>全面改造项目实施方案村民表决稿须经农村集体经济组织成员大会或者成员代表会议表决通过，表决内容包括复建安置总量、</w:t>
      </w:r>
      <w:r>
        <w:rPr>
          <w:rFonts w:hint="eastAsia" w:ascii="等线" w:hAnsi="等线"/>
          <w:szCs w:val="32"/>
        </w:rPr>
        <w:t>搬迁</w:t>
      </w:r>
      <w:r>
        <w:rPr>
          <w:rFonts w:hint="eastAsia"/>
          <w:szCs w:val="32"/>
        </w:rPr>
        <w:t>补偿安置的原则和标准</w:t>
      </w:r>
      <w:r>
        <w:rPr>
          <w:rFonts w:hint="eastAsia" w:ascii="楷体_GB2312" w:hAnsi="楷体"/>
          <w:szCs w:val="18"/>
        </w:rPr>
        <w:t>等直接与村民利益相关内容。项目实施方案经表决通过后，提交</w:t>
      </w:r>
      <w:r>
        <w:rPr>
          <w:rFonts w:hint="eastAsia"/>
          <w:szCs w:val="32"/>
        </w:rPr>
        <w:t>城市更新领导机构审</w:t>
      </w:r>
      <w:r>
        <w:rPr>
          <w:rFonts w:hint="eastAsia" w:ascii="楷体_GB2312" w:hAnsi="楷体"/>
          <w:szCs w:val="18"/>
        </w:rPr>
        <w:t>议。</w:t>
      </w:r>
    </w:p>
    <w:p>
      <w:pPr>
        <w:widowControl/>
        <w:shd w:val="clear" w:color="auto" w:fill="auto"/>
        <w:ind w:firstLine="640"/>
        <w:rPr>
          <w:szCs w:val="32"/>
        </w:rPr>
      </w:pPr>
      <w:r>
        <w:rPr>
          <w:rFonts w:hint="eastAsia"/>
          <w:szCs w:val="32"/>
        </w:rPr>
        <w:t>微改造项目实施方案的表决按照本细则第五十条的规定执行。</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【项目实施方案的审议和批复】</w:t>
      </w:r>
    </w:p>
    <w:p>
      <w:pPr>
        <w:ind w:firstLine="640"/>
      </w:pPr>
      <w:r>
        <w:rPr>
          <w:rFonts w:hint="eastAsia"/>
        </w:rPr>
        <w:t>城市更新领导机构应当对项目实施方案送审稿中的</w:t>
      </w:r>
      <w:r>
        <w:rPr>
          <w:rFonts w:hint="eastAsia"/>
          <w:szCs w:val="32"/>
        </w:rPr>
        <w:t>基础数据调查成果</w:t>
      </w:r>
      <w:r>
        <w:rPr>
          <w:rFonts w:hint="eastAsia"/>
        </w:rPr>
        <w:t>、改造范围、改造主体、改造类型、改造模式、复建和融资建筑量、改造成本、融资楼面地价、用地整合、改造风险评估、</w:t>
      </w:r>
      <w:r>
        <w:rPr>
          <w:rFonts w:hint="eastAsia" w:ascii="等线" w:hAnsi="等线"/>
        </w:rPr>
        <w:t>搬</w:t>
      </w:r>
      <w:r>
        <w:rPr>
          <w:rFonts w:hint="eastAsia"/>
        </w:rPr>
        <w:t>迁补偿安置的原则和标准等进行审议。</w:t>
      </w:r>
    </w:p>
    <w:p>
      <w:pPr>
        <w:ind w:firstLine="640"/>
      </w:pPr>
      <w:r>
        <w:rPr>
          <w:rFonts w:hint="eastAsia"/>
        </w:rPr>
        <w:t>旧村庄改造项目实施方案经审定后核发项目实施方案批复。项目实施方案批复应当在区“三旧”改造部门官方网站（或区人民政府门户网站）上公布。</w:t>
      </w:r>
    </w:p>
    <w:p>
      <w:pPr>
        <w:ind w:firstLine="640"/>
        <w:rPr>
          <w:szCs w:val="32"/>
        </w:rPr>
      </w:pPr>
      <w:r>
        <w:rPr>
          <w:rFonts w:hint="eastAsia"/>
          <w:shd w:val="clear" w:color="auto" w:fill="FFFFFF"/>
        </w:rPr>
        <w:t>项目实施方案经城市更新领导机构审议并批复后，由农村集体经济组织召开成员大会表决通过的，批复生效实施。如在项目实施方案提交城市更新领导机构审议前，已经农村集体经济组织召开成员大会表决通过，且项目实施方案不涉及</w:t>
      </w:r>
      <w:r>
        <w:rPr>
          <w:rFonts w:hint="eastAsia" w:ascii="楷体_GB2312" w:hAnsi="楷体"/>
          <w:szCs w:val="18"/>
        </w:rPr>
        <w:t>复建安置总量、</w:t>
      </w:r>
      <w:r>
        <w:rPr>
          <w:rFonts w:hint="eastAsia" w:ascii="等线" w:hAnsi="等线"/>
          <w:szCs w:val="32"/>
        </w:rPr>
        <w:t>搬迁</w:t>
      </w:r>
      <w:r>
        <w:rPr>
          <w:rFonts w:hint="eastAsia"/>
          <w:szCs w:val="32"/>
        </w:rPr>
        <w:t>补偿安置的原则和标准</w:t>
      </w:r>
      <w:r>
        <w:rPr>
          <w:rFonts w:hint="eastAsia" w:ascii="楷体_GB2312" w:hAnsi="楷体"/>
          <w:szCs w:val="18"/>
        </w:rPr>
        <w:t>等直接与村民利益相关内容</w:t>
      </w:r>
      <w:r>
        <w:rPr>
          <w:rFonts w:hint="eastAsia"/>
          <w:shd w:val="clear" w:color="auto" w:fill="FFFFFF"/>
        </w:rPr>
        <w:t>修改的，项目实施方案批复后即生效。</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【项目实施方案的调整】</w:t>
      </w:r>
    </w:p>
    <w:p>
      <w:pPr>
        <w:ind w:firstLine="640"/>
      </w:pPr>
      <w:r>
        <w:rPr>
          <w:rFonts w:hint="eastAsia"/>
        </w:rPr>
        <w:t>经审定的项目实施方案需调整的，应当报原审定机关批准；但同时符合以下情形的，可以由区人民政府按程序审定：</w:t>
      </w:r>
    </w:p>
    <w:p>
      <w:pPr>
        <w:ind w:firstLine="640"/>
      </w:pPr>
      <w:r>
        <w:rPr>
          <w:rFonts w:hint="eastAsia"/>
        </w:rPr>
        <w:t>（一）不涉及详细规划修改；</w:t>
      </w:r>
    </w:p>
    <w:p>
      <w:pPr>
        <w:ind w:firstLine="640"/>
      </w:pPr>
      <w:r>
        <w:rPr>
          <w:rFonts w:hint="eastAsia"/>
        </w:rPr>
        <w:t>（二）不增加片区策划确定的复建安置总面积；</w:t>
      </w:r>
    </w:p>
    <w:p>
      <w:pPr>
        <w:ind w:firstLine="640"/>
      </w:pPr>
      <w:r>
        <w:rPr>
          <w:rFonts w:hint="eastAsia"/>
        </w:rPr>
        <w:t>（三）不减少由市人民政府分配的节余建筑面积及用地。</w:t>
      </w:r>
    </w:p>
    <w:p>
      <w:pPr>
        <w:ind w:firstLine="640"/>
        <w:rPr>
          <w:rFonts w:ascii="楷体_GB2312" w:hAnsi="楷体"/>
          <w:szCs w:val="18"/>
        </w:rPr>
      </w:pPr>
      <w:r>
        <w:rPr>
          <w:rFonts w:hint="eastAsia"/>
        </w:rPr>
        <w:t>项目实施方案调整涉及</w:t>
      </w:r>
      <w:r>
        <w:rPr>
          <w:rFonts w:hint="eastAsia" w:ascii="楷体_GB2312" w:hAnsi="楷体"/>
          <w:szCs w:val="18"/>
        </w:rPr>
        <w:t>复建安置总量、</w:t>
      </w:r>
      <w:r>
        <w:rPr>
          <w:rFonts w:hint="eastAsia" w:ascii="等线" w:hAnsi="等线"/>
          <w:szCs w:val="32"/>
        </w:rPr>
        <w:t>搬迁</w:t>
      </w:r>
      <w:r>
        <w:rPr>
          <w:rFonts w:hint="eastAsia"/>
          <w:szCs w:val="32"/>
        </w:rPr>
        <w:t>补偿安置的原则和标准</w:t>
      </w:r>
      <w:r>
        <w:rPr>
          <w:rFonts w:hint="eastAsia" w:ascii="楷体_GB2312" w:hAnsi="楷体"/>
          <w:szCs w:val="18"/>
        </w:rPr>
        <w:t>等直接与村民利益相关内容的，应当经农村集体经济组织成员大会或者成员代表会议表决通过后，按程序报批。</w:t>
      </w:r>
    </w:p>
    <w:p>
      <w:pPr>
        <w:widowControl/>
        <w:numPr>
          <w:ilvl w:val="0"/>
          <w:numId w:val="1"/>
        </w:numPr>
        <w:shd w:val="clear" w:color="auto" w:fill="auto"/>
        <w:ind w:firstLine="640"/>
        <w:outlineLvl w:val="1"/>
        <w:rPr>
          <w:rFonts w:ascii="黑体" w:hAnsi="黑体" w:eastAsia="黑体" w:cs="黑体"/>
          <w:szCs w:val="32"/>
        </w:rPr>
      </w:pPr>
      <w:bookmarkStart w:id="14" w:name="_Hlk153204171"/>
      <w:bookmarkStart w:id="15" w:name="_Hlk153204179"/>
      <w:r>
        <w:rPr>
          <w:rFonts w:hint="eastAsia" w:ascii="黑体" w:hAnsi="黑体" w:eastAsia="黑体" w:cs="黑体"/>
          <w:szCs w:val="32"/>
        </w:rPr>
        <w:t>【搬迁补偿安置方案表决】</w:t>
      </w:r>
      <w:bookmarkEnd w:id="14"/>
    </w:p>
    <w:bookmarkEnd w:id="15"/>
    <w:p>
      <w:pPr>
        <w:ind w:firstLine="640"/>
        <w:rPr>
          <w:shd w:val="clear" w:color="auto" w:fill="FFFFFF"/>
        </w:rPr>
      </w:pPr>
      <w:r>
        <w:rPr>
          <w:rFonts w:hint="eastAsia"/>
        </w:rPr>
        <w:t>村民（含村改居后的居民）住宅等私人物业搬迁补偿安置方案需经被搬迁安置的村（居）民和世居祖屋权属人总人数的</w:t>
      </w:r>
      <w:r>
        <w:t>80</w:t>
      </w:r>
      <w:r>
        <w:rPr>
          <w:rFonts w:hint="eastAsia"/>
        </w:rPr>
        <w:t>％以上表决通过。村集体物业的搬迁补偿安置方案需由农村集体经济组织召开成员大会表决通过。</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【批复延期】</w:t>
      </w:r>
    </w:p>
    <w:p>
      <w:pPr>
        <w:ind w:firstLine="640"/>
        <w:rPr>
          <w:szCs w:val="32"/>
        </w:rPr>
      </w:pPr>
      <w:r>
        <w:rPr>
          <w:rFonts w:hint="eastAsia"/>
        </w:rPr>
        <w:t>搬迁补偿安置协议在项目实施方案批复生效后3年内仍未达到80％以上权属人签约比例的，项目实施方案应当重新报批。</w:t>
      </w:r>
    </w:p>
    <w:p>
      <w:pPr>
        <w:widowControl/>
        <w:shd w:val="clear" w:color="auto" w:fill="auto"/>
        <w:ind w:firstLine="640"/>
      </w:pPr>
      <w:r>
        <w:rPr>
          <w:rFonts w:hint="eastAsia"/>
          <w:szCs w:val="32"/>
        </w:rPr>
        <w:t>因政策调整、规划调整、重大公共事件等不可抗力原因造成前款所述情况的，</w:t>
      </w:r>
      <w:r>
        <w:rPr>
          <w:rFonts w:hint="eastAsia"/>
        </w:rPr>
        <w:t>改造主体可以在规定时限届满前6个月，向原审批机构申请延期。</w:t>
      </w:r>
      <w:r>
        <w:rPr>
          <w:rFonts w:hint="eastAsia"/>
          <w:szCs w:val="32"/>
        </w:rPr>
        <w:t>经原审批机构审议同意，</w:t>
      </w:r>
      <w:r>
        <w:rPr>
          <w:rFonts w:hint="eastAsia"/>
        </w:rPr>
        <w:t>可延期</w:t>
      </w:r>
      <w:r>
        <w:t>2</w:t>
      </w:r>
      <w:r>
        <w:rPr>
          <w:rFonts w:hint="eastAsia"/>
        </w:rPr>
        <w:t>次，每次延长期限不超过</w:t>
      </w:r>
      <w:r>
        <w:t>1</w:t>
      </w:r>
      <w:r>
        <w:rPr>
          <w:rFonts w:hint="eastAsia"/>
        </w:rPr>
        <w:t>年。</w:t>
      </w:r>
    </w:p>
    <w:p>
      <w:pPr>
        <w:widowControl/>
        <w:shd w:val="clear" w:color="auto" w:fill="auto"/>
        <w:ind w:firstLine="640"/>
        <w:rPr>
          <w:szCs w:val="32"/>
        </w:rPr>
      </w:pPr>
    </w:p>
    <w:p>
      <w:pPr>
        <w:shd w:val="clear" w:color="auto" w:fill="auto"/>
        <w:spacing w:line="264" w:lineRule="auto"/>
        <w:ind w:firstLine="640"/>
        <w:jc w:val="center"/>
        <w:outlineLvl w:val="0"/>
        <w:rPr>
          <w:rFonts w:ascii="黑体" w:hAnsi="黑体" w:eastAsia="黑体"/>
          <w:szCs w:val="32"/>
        </w:rPr>
      </w:pPr>
      <w:bookmarkStart w:id="16" w:name="_Toc29920"/>
      <w:bookmarkStart w:id="17" w:name="_Toc5447"/>
      <w:bookmarkStart w:id="18" w:name="_Toc4115"/>
      <w:bookmarkStart w:id="19" w:name="_Toc130911624"/>
      <w:bookmarkStart w:id="20" w:name="_Toc19747"/>
      <w:r>
        <w:rPr>
          <w:rFonts w:hint="eastAsia" w:ascii="黑体" w:hAnsi="黑体" w:eastAsia="黑体"/>
          <w:szCs w:val="32"/>
        </w:rPr>
        <w:t>第四章</w:t>
      </w:r>
      <w:r>
        <w:rPr>
          <w:rFonts w:ascii="黑体" w:hAnsi="黑体" w:eastAsia="黑体"/>
          <w:szCs w:val="32"/>
        </w:rPr>
        <w:t xml:space="preserve"> </w:t>
      </w:r>
      <w:r>
        <w:rPr>
          <w:rFonts w:hint="eastAsia" w:ascii="黑体" w:hAnsi="黑体" w:eastAsia="黑体"/>
          <w:szCs w:val="32"/>
        </w:rPr>
        <w:t>改造实施</w:t>
      </w:r>
      <w:bookmarkEnd w:id="16"/>
      <w:bookmarkEnd w:id="17"/>
      <w:bookmarkEnd w:id="18"/>
      <w:bookmarkEnd w:id="19"/>
      <w:bookmarkEnd w:id="20"/>
    </w:p>
    <w:p>
      <w:pPr>
        <w:widowControl/>
        <w:numPr>
          <w:ilvl w:val="0"/>
          <w:numId w:val="1"/>
        </w:numPr>
        <w:shd w:val="clear" w:color="auto" w:fill="auto"/>
        <w:ind w:firstLine="640"/>
        <w:outlineLvl w:val="1"/>
        <w:rPr>
          <w:rFonts w:ascii="黑体" w:hAnsi="黑体" w:eastAsia="黑体" w:cs="黑体"/>
          <w:szCs w:val="32"/>
        </w:rPr>
      </w:pPr>
      <w:bookmarkStart w:id="21" w:name="_Toc32748"/>
      <w:bookmarkStart w:id="22" w:name="_Toc22028"/>
      <w:bookmarkStart w:id="23" w:name="_Toc12824"/>
      <w:bookmarkStart w:id="24" w:name="_Toc130911625"/>
      <w:bookmarkStart w:id="25" w:name="_Toc4430"/>
      <w:r>
        <w:rPr>
          <w:rFonts w:hint="eastAsia" w:ascii="黑体" w:hAnsi="黑体" w:eastAsia="黑体" w:cs="黑体"/>
          <w:szCs w:val="32"/>
        </w:rPr>
        <w:t>【政府主导改造】</w:t>
      </w:r>
      <w:bookmarkEnd w:id="21"/>
      <w:bookmarkEnd w:id="22"/>
      <w:bookmarkEnd w:id="23"/>
      <w:bookmarkEnd w:id="24"/>
      <w:bookmarkEnd w:id="25"/>
    </w:p>
    <w:p>
      <w:pPr>
        <w:widowControl/>
        <w:shd w:val="clear" w:color="auto" w:fill="auto"/>
        <w:ind w:firstLine="640"/>
        <w:rPr>
          <w:szCs w:val="32"/>
        </w:rPr>
      </w:pPr>
      <w:r>
        <w:rPr>
          <w:rFonts w:hint="eastAsia" w:cs="仿宋"/>
          <w:bCs/>
          <w:szCs w:val="28"/>
        </w:rPr>
        <w:t>政府主导改造</w:t>
      </w:r>
      <w:r>
        <w:rPr>
          <w:rFonts w:hint="eastAsia"/>
          <w:szCs w:val="32"/>
        </w:rPr>
        <w:t>类项目由政府按照土地整理和土地出让两阶段推进。</w:t>
      </w:r>
    </w:p>
    <w:p>
      <w:pPr>
        <w:widowControl/>
        <w:shd w:val="clear" w:color="auto" w:fill="auto"/>
        <w:ind w:firstLine="640"/>
        <w:rPr>
          <w:szCs w:val="32"/>
        </w:rPr>
      </w:pPr>
      <w:r>
        <w:rPr>
          <w:rFonts w:hint="eastAsia"/>
          <w:szCs w:val="32"/>
        </w:rPr>
        <w:t>区人民政府负责土地的前期开发整理，并指定相关单位及企业具体负责村民住宅和农村集体经济组织物业复建安置补偿。复建安置地块与其余土地分开供应的，</w:t>
      </w:r>
      <w:r>
        <w:rPr>
          <w:rFonts w:hint="eastAsia"/>
        </w:rPr>
        <w:t>复建安置地块可以划拨方式，由政府依法确定的相关企业代建完成，直接确权给农村集体经济组织、村民和相关权属人，其余土地完成前</w:t>
      </w:r>
      <w:r>
        <w:rPr>
          <w:rFonts w:hint="eastAsia"/>
          <w:szCs w:val="32"/>
        </w:rPr>
        <w:t>期开发整理后，纳入土地供应计划，由政府按规定组织供应；也可以把配建村民住宅和农村集体经济组织物业复建安置房作为出让条件，将融资地块、市政配套地块与复建安置地块一并通过公开方式出让给开发企业。项目建成后，市政配套项目按规定移交给市区相关部门，复建安置项目参照无偿移交的配建房产可直接由集体经济组织办理房屋首次登记，并将以上要求在供地文件中明确。</w:t>
      </w:r>
    </w:p>
    <w:p>
      <w:pPr>
        <w:widowControl/>
        <w:numPr>
          <w:ilvl w:val="0"/>
          <w:numId w:val="1"/>
        </w:numPr>
        <w:shd w:val="clear" w:color="auto" w:fill="auto"/>
        <w:ind w:firstLine="640"/>
        <w:outlineLvl w:val="1"/>
        <w:rPr>
          <w:rFonts w:ascii="黑体" w:hAnsi="黑体" w:eastAsia="黑体" w:cs="黑体"/>
          <w:szCs w:val="32"/>
        </w:rPr>
      </w:pPr>
      <w:bookmarkStart w:id="26" w:name="_Toc10563"/>
      <w:bookmarkStart w:id="27" w:name="_Toc27908"/>
      <w:bookmarkStart w:id="28" w:name="_Toc12024"/>
      <w:bookmarkStart w:id="29" w:name="_Toc130911626"/>
      <w:bookmarkStart w:id="30" w:name="_Toc31248"/>
      <w:r>
        <w:rPr>
          <w:rFonts w:hint="eastAsia" w:ascii="黑体" w:hAnsi="黑体" w:eastAsia="黑体" w:cs="黑体"/>
          <w:szCs w:val="32"/>
        </w:rPr>
        <w:t>【引入合作企业】</w:t>
      </w:r>
      <w:bookmarkEnd w:id="26"/>
      <w:bookmarkEnd w:id="27"/>
      <w:bookmarkEnd w:id="28"/>
      <w:bookmarkEnd w:id="29"/>
      <w:bookmarkEnd w:id="30"/>
    </w:p>
    <w:p>
      <w:pPr>
        <w:widowControl/>
        <w:shd w:val="clear" w:color="auto" w:fill="auto"/>
        <w:ind w:firstLine="640"/>
        <w:rPr>
          <w:szCs w:val="32"/>
        </w:rPr>
      </w:pPr>
      <w:r>
        <w:rPr>
          <w:rFonts w:hint="eastAsia"/>
          <w:szCs w:val="32"/>
        </w:rPr>
        <w:t>合作改造类项目，由农村集体经济组织在基础数据调查成果经区人民政府审核公布，或者片区策划批复后，公开引入合作企业参与改</w:t>
      </w:r>
      <w:r>
        <w:rPr>
          <w:rFonts w:hint="eastAsia"/>
        </w:rPr>
        <w:t>造；或通过土地公开出让引入合作企业参与改造。各区人民政府可在上述规定基础上，根据实际情况明确引入合作企业的时间节点</w:t>
      </w:r>
      <w:r>
        <w:rPr>
          <w:rFonts w:hint="eastAsia"/>
          <w:szCs w:val="32"/>
        </w:rPr>
        <w:t>要求。</w:t>
      </w:r>
    </w:p>
    <w:p>
      <w:pPr>
        <w:widowControl/>
        <w:shd w:val="clear" w:color="auto" w:fill="auto"/>
        <w:ind w:firstLine="640"/>
        <w:rPr>
          <w:szCs w:val="32"/>
        </w:rPr>
      </w:pPr>
      <w:bookmarkStart w:id="31" w:name="_Hlk154329831"/>
      <w:r>
        <w:rPr>
          <w:rFonts w:hint="eastAsia"/>
          <w:szCs w:val="32"/>
        </w:rPr>
        <w:t>农村集体经济组织</w:t>
      </w:r>
      <w:r>
        <w:rPr>
          <w:rFonts w:hint="eastAsia"/>
        </w:rPr>
        <w:t>引入合作企业后，双方签订合作协议，约定复建安置资金缴存、复建安置地块建设和移交、融资地块建筑面积分配等改造事宜，各区可结合本区实际情况确定具体内容。</w:t>
      </w:r>
    </w:p>
    <w:p>
      <w:pPr>
        <w:widowControl/>
        <w:shd w:val="clear" w:color="auto" w:fill="auto"/>
        <w:ind w:firstLine="640"/>
        <w:rPr>
          <w:szCs w:val="32"/>
        </w:rPr>
      </w:pPr>
      <w:r>
        <w:rPr>
          <w:rFonts w:hint="eastAsia"/>
          <w:szCs w:val="32"/>
        </w:rPr>
        <w:t>合作改造类项目可以一次性引入合作企业，也可按照土地整理、土地开发两阶段分别引入合作企业。</w:t>
      </w:r>
    </w:p>
    <w:bookmarkEnd w:id="31"/>
    <w:p>
      <w:pPr>
        <w:widowControl/>
        <w:numPr>
          <w:ilvl w:val="0"/>
          <w:numId w:val="1"/>
        </w:numPr>
        <w:shd w:val="clear" w:color="auto" w:fill="auto"/>
        <w:ind w:firstLine="640"/>
        <w:outlineLvl w:val="1"/>
        <w:rPr>
          <w:rFonts w:ascii="黑体" w:hAnsi="黑体" w:eastAsia="黑体" w:cs="黑体"/>
          <w:szCs w:val="32"/>
        </w:rPr>
      </w:pPr>
      <w:bookmarkStart w:id="32" w:name="_Toc27596"/>
      <w:bookmarkStart w:id="33" w:name="_Toc10828"/>
      <w:bookmarkStart w:id="34" w:name="_Toc130911627"/>
      <w:bookmarkStart w:id="35" w:name="_Toc21583"/>
      <w:bookmarkStart w:id="36" w:name="_Toc8505"/>
      <w:r>
        <w:rPr>
          <w:rFonts w:hint="eastAsia" w:ascii="黑体" w:hAnsi="黑体" w:eastAsia="黑体" w:cs="黑体"/>
          <w:szCs w:val="32"/>
        </w:rPr>
        <w:t>【一次性引入合作企业】</w:t>
      </w:r>
      <w:bookmarkEnd w:id="32"/>
      <w:bookmarkEnd w:id="33"/>
      <w:bookmarkEnd w:id="34"/>
      <w:bookmarkEnd w:id="35"/>
      <w:bookmarkEnd w:id="36"/>
    </w:p>
    <w:p>
      <w:pPr>
        <w:widowControl/>
        <w:shd w:val="clear" w:color="auto" w:fill="auto"/>
        <w:ind w:firstLine="640"/>
        <w:rPr>
          <w:szCs w:val="32"/>
        </w:rPr>
      </w:pPr>
      <w:r>
        <w:rPr>
          <w:rFonts w:hint="eastAsia"/>
          <w:szCs w:val="32"/>
        </w:rPr>
        <w:t>合作改造类项目一次性引入合作企业应当符合以下规定：</w:t>
      </w:r>
    </w:p>
    <w:p>
      <w:pPr>
        <w:shd w:val="clear" w:color="auto" w:fill="auto"/>
        <w:ind w:firstLine="640"/>
        <w:rPr>
          <w:szCs w:val="32"/>
        </w:rPr>
      </w:pPr>
      <w:r>
        <w:rPr>
          <w:rFonts w:hint="eastAsia"/>
          <w:szCs w:val="32"/>
        </w:rPr>
        <w:t>（一）以招商方式确定合作企业的，农村集体经济组织应当通过市公共资源交易平台或具备农村产权交易资质的机构或所在区一级农村集体资产交易服务机构公开选择合作企业参与改造，发布招商公告日期距提交竞选文件截止日期，不得少于</w:t>
      </w:r>
      <w:r>
        <w:rPr>
          <w:szCs w:val="32"/>
        </w:rPr>
        <w:t>30</w:t>
      </w:r>
      <w:r>
        <w:rPr>
          <w:rFonts w:hint="eastAsia"/>
          <w:szCs w:val="32"/>
        </w:rPr>
        <w:t>日。农村集体经济组织制订引入合作企业的招商文件时，应当按程序征求属地镇（街道）、区“三旧”改造部门</w:t>
      </w:r>
      <w:r>
        <w:rPr>
          <w:rFonts w:hint="eastAsia" w:ascii="仿宋_GB2312" w:hAnsi="仿宋_GB2312" w:cs="仿宋_GB2312"/>
          <w:szCs w:val="32"/>
        </w:rPr>
        <w:t>、</w:t>
      </w:r>
      <w:r>
        <w:rPr>
          <w:rFonts w:ascii="仿宋_GB2312" w:hAnsi="仿宋_GB2312" w:cs="仿宋_GB2312"/>
          <w:szCs w:val="32"/>
        </w:rPr>
        <w:t>区人民政府</w:t>
      </w:r>
      <w:r>
        <w:rPr>
          <w:rFonts w:hint="eastAsia"/>
          <w:szCs w:val="32"/>
        </w:rPr>
        <w:t>的意见</w:t>
      </w:r>
      <w:r>
        <w:rPr>
          <w:rFonts w:hint="eastAsia" w:ascii="仿宋_GB2312" w:hAnsi="仿宋_GB2312" w:cs="仿宋_GB2312"/>
          <w:szCs w:val="32"/>
        </w:rPr>
        <w:t>。</w:t>
      </w:r>
    </w:p>
    <w:p>
      <w:pPr>
        <w:shd w:val="clear" w:color="auto" w:fill="auto"/>
        <w:ind w:firstLine="640"/>
        <w:rPr>
          <w:szCs w:val="32"/>
        </w:rPr>
      </w:pPr>
      <w:r>
        <w:rPr>
          <w:rFonts w:hint="eastAsia"/>
          <w:szCs w:val="32"/>
        </w:rPr>
        <w:t>“三旧”改造部门应当公布举报电话，加强对招商活动的监督管理。村务监督委员会应当对招商活动和信息披露情况进行监督。监察部门应当加强监察。</w:t>
      </w:r>
    </w:p>
    <w:p>
      <w:pPr>
        <w:widowControl/>
        <w:shd w:val="clear" w:color="auto" w:fill="auto"/>
        <w:ind w:firstLine="640"/>
        <w:rPr>
          <w:szCs w:val="32"/>
        </w:rPr>
      </w:pPr>
      <w:r>
        <w:rPr>
          <w:rFonts w:hint="eastAsia"/>
          <w:szCs w:val="32"/>
        </w:rPr>
        <w:t>（二）通过融资地块公开出让引入合作企业的，参考土地公开出让的有关规定执行。</w:t>
      </w:r>
    </w:p>
    <w:p>
      <w:pPr>
        <w:shd w:val="clear" w:color="auto" w:fill="auto"/>
        <w:ind w:firstLine="640"/>
        <w:rPr>
          <w:rFonts w:ascii="仿宋_GB2312" w:hAnsi="仿宋_GB2312" w:cs="仿宋_GB2312"/>
          <w:b/>
          <w:szCs w:val="32"/>
        </w:rPr>
      </w:pPr>
      <w:r>
        <w:rPr>
          <w:rFonts w:hint="eastAsia"/>
          <w:szCs w:val="32"/>
        </w:rPr>
        <w:t>（三）确定合作企业后，农村集体经济组织应与合作企业</w:t>
      </w:r>
      <w:r>
        <w:rPr>
          <w:rFonts w:hint="eastAsia" w:ascii="仿宋_GB2312" w:hAnsi="仿宋_GB2312" w:cs="仿宋_GB2312"/>
          <w:szCs w:val="32"/>
        </w:rPr>
        <w:t>双方签订旧村庄改造合作协议，约定</w:t>
      </w:r>
      <w:r>
        <w:rPr>
          <w:rFonts w:hint="eastAsia"/>
          <w:szCs w:val="32"/>
        </w:rPr>
        <w:t>合作企业投资、</w:t>
      </w:r>
      <w:r>
        <w:rPr>
          <w:rFonts w:hint="eastAsia" w:ascii="仿宋_GB2312" w:hAnsi="仿宋_GB2312" w:cs="仿宋_GB2312"/>
          <w:szCs w:val="32"/>
        </w:rPr>
        <w:t>复建安置资金缴存、复建安置地块建设和移交、融资地块面积分配等改造事宜。</w:t>
      </w:r>
    </w:p>
    <w:p>
      <w:pPr>
        <w:widowControl/>
        <w:shd w:val="clear" w:color="auto" w:fill="auto"/>
        <w:ind w:firstLine="640"/>
        <w:rPr>
          <w:szCs w:val="32"/>
        </w:rPr>
      </w:pPr>
      <w:r>
        <w:rPr>
          <w:rFonts w:hint="eastAsia" w:ascii="仿宋_GB2312" w:hAnsi="仿宋_GB2312" w:cs="仿宋_GB2312"/>
          <w:szCs w:val="32"/>
        </w:rPr>
        <w:t>区人民政府或其指定部门和属地镇（街道）共同与合作企业签订旧村庄改造监管协议，明确旧村庄改造中教育、医疗等公共设施的建设和运营要求，明确导入产业企业数量和经济效益的具体要求，并指定相应的部门加强事中、事后监管，确保合作企业履约。</w:t>
      </w:r>
    </w:p>
    <w:p>
      <w:pPr>
        <w:widowControl/>
        <w:shd w:val="clear" w:color="auto" w:fill="auto"/>
        <w:ind w:firstLine="640"/>
        <w:rPr>
          <w:szCs w:val="32"/>
        </w:rPr>
      </w:pPr>
      <w:r>
        <w:rPr>
          <w:rFonts w:hint="eastAsia"/>
        </w:rPr>
        <w:t>2015年8月18日前</w:t>
      </w:r>
      <w:r>
        <w:rPr>
          <w:rFonts w:hint="eastAsia"/>
          <w:szCs w:val="32"/>
        </w:rPr>
        <w:t>，按本市“城中村”改造原有关程序，通过农村集体经济组织集体表决同意选择合作企业，已签订合作意向书，并按规定要求报批，经区人民政府批准，且经市城市更新领导机构审定的合作改造类项目，按原规定执行。</w:t>
      </w:r>
    </w:p>
    <w:p>
      <w:pPr>
        <w:widowControl/>
        <w:numPr>
          <w:ilvl w:val="0"/>
          <w:numId w:val="1"/>
        </w:numPr>
        <w:shd w:val="clear" w:color="auto" w:fill="auto"/>
        <w:ind w:firstLine="640"/>
        <w:outlineLvl w:val="1"/>
        <w:rPr>
          <w:rFonts w:ascii="黑体" w:hAnsi="黑体" w:eastAsia="黑体" w:cs="黑体"/>
          <w:szCs w:val="32"/>
        </w:rPr>
      </w:pPr>
      <w:bookmarkStart w:id="37" w:name="_Toc32402"/>
      <w:bookmarkStart w:id="38" w:name="_Toc3572"/>
      <w:bookmarkStart w:id="39" w:name="_Toc130911628"/>
      <w:bookmarkStart w:id="40" w:name="_Toc5863"/>
      <w:bookmarkStart w:id="41" w:name="_Toc29399"/>
      <w:r>
        <w:rPr>
          <w:rFonts w:hint="eastAsia" w:ascii="黑体" w:hAnsi="黑体" w:eastAsia="黑体" w:cs="黑体"/>
          <w:szCs w:val="32"/>
        </w:rPr>
        <w:t>【分阶段引入合作企业】</w:t>
      </w:r>
      <w:bookmarkEnd w:id="37"/>
      <w:bookmarkEnd w:id="38"/>
      <w:bookmarkEnd w:id="39"/>
      <w:bookmarkEnd w:id="40"/>
      <w:bookmarkEnd w:id="41"/>
    </w:p>
    <w:p>
      <w:pPr>
        <w:widowControl/>
        <w:shd w:val="clear" w:color="auto" w:fill="auto"/>
        <w:ind w:firstLine="640"/>
        <w:rPr>
          <w:szCs w:val="32"/>
        </w:rPr>
      </w:pPr>
      <w:r>
        <w:rPr>
          <w:rFonts w:hint="eastAsia"/>
          <w:szCs w:val="32"/>
        </w:rPr>
        <w:t>鼓励旧村庄合作改造类项目按照土地整理、土地开发两阶段分别引入合作企业。</w:t>
      </w:r>
    </w:p>
    <w:p>
      <w:pPr>
        <w:widowControl/>
        <w:shd w:val="clear" w:color="auto" w:fill="auto"/>
        <w:ind w:firstLine="640"/>
        <w:rPr>
          <w:szCs w:val="32"/>
        </w:rPr>
      </w:pPr>
      <w:r>
        <w:rPr>
          <w:rFonts w:hint="eastAsia"/>
          <w:szCs w:val="32"/>
        </w:rPr>
        <w:t>（一）土地整理阶段。旧村庄改造项目需要融资筹集资金用于土地整理的，应当以公开方式引入市场主体具体实施</w:t>
      </w:r>
      <w:r>
        <w:rPr>
          <w:rFonts w:hint="eastAsia" w:ascii="等线" w:hAnsi="等线"/>
          <w:szCs w:val="32"/>
        </w:rPr>
        <w:t>搬</w:t>
      </w:r>
      <w:r>
        <w:rPr>
          <w:rFonts w:hint="eastAsia"/>
          <w:szCs w:val="32"/>
        </w:rPr>
        <w:t>迁补偿安置工作，被选定的投资实施主体应当按协议约定投资参与完成土地整理，并按照约定条件获得相应的投资利润。</w:t>
      </w:r>
    </w:p>
    <w:p>
      <w:pPr>
        <w:widowControl/>
        <w:shd w:val="clear" w:color="auto" w:fill="auto"/>
        <w:ind w:firstLine="640"/>
        <w:rPr>
          <w:szCs w:val="32"/>
        </w:rPr>
      </w:pPr>
      <w:r>
        <w:rPr>
          <w:rFonts w:hint="eastAsia"/>
          <w:szCs w:val="32"/>
        </w:rPr>
        <w:t>（二）土地开发阶段。完成融资地块上房屋补偿安置和土地整理后，确定为农村集体经济组织使用的，交由农村集体经济组织开发；需要引入合作企业的，由农村集体经济组织通过市公共资源交易平台或具备农村产权交易资质的机构或所在区一级农村集体资产交易服务机构公开选择开发单位或合作企业开发建设。</w:t>
      </w:r>
    </w:p>
    <w:p>
      <w:pPr>
        <w:widowControl/>
        <w:numPr>
          <w:ilvl w:val="0"/>
          <w:numId w:val="1"/>
        </w:numPr>
        <w:shd w:val="clear" w:color="auto" w:fill="auto"/>
        <w:ind w:firstLine="640"/>
        <w:outlineLvl w:val="1"/>
        <w:rPr>
          <w:rFonts w:ascii="黑体" w:hAnsi="黑体" w:eastAsia="黑体" w:cs="黑体"/>
          <w:szCs w:val="32"/>
        </w:rPr>
      </w:pPr>
      <w:bookmarkStart w:id="42" w:name="_Toc13570"/>
      <w:bookmarkStart w:id="43" w:name="_Toc1093"/>
      <w:bookmarkStart w:id="44" w:name="_Toc25262"/>
      <w:bookmarkStart w:id="45" w:name="_Toc130911629"/>
      <w:bookmarkStart w:id="46" w:name="_Toc3485"/>
      <w:r>
        <w:rPr>
          <w:rFonts w:hint="eastAsia" w:ascii="黑体" w:hAnsi="黑体" w:eastAsia="黑体" w:cs="黑体"/>
          <w:szCs w:val="32"/>
        </w:rPr>
        <w:t>【合作企业退出】</w:t>
      </w:r>
      <w:bookmarkEnd w:id="42"/>
      <w:bookmarkEnd w:id="43"/>
      <w:bookmarkEnd w:id="44"/>
      <w:bookmarkEnd w:id="45"/>
      <w:bookmarkEnd w:id="46"/>
    </w:p>
    <w:p>
      <w:pPr>
        <w:ind w:firstLine="640"/>
      </w:pPr>
      <w:r>
        <w:rPr>
          <w:rFonts w:hint="eastAsia"/>
          <w:szCs w:val="32"/>
        </w:rPr>
        <w:t>农村集体经济组织</w:t>
      </w:r>
      <w:r>
        <w:rPr>
          <w:rFonts w:hint="eastAsia"/>
        </w:rPr>
        <w:t>引入合作企业后，</w:t>
      </w:r>
      <w:r>
        <w:rPr>
          <w:rFonts w:hint="eastAsia"/>
          <w:shd w:val="clear" w:color="auto" w:fill="FFFFFF"/>
        </w:rPr>
        <w:t>双方按照合作协议约定推进项目的实施，如出现以下情形之一的，</w:t>
      </w:r>
      <w:r>
        <w:rPr>
          <w:rFonts w:hint="eastAsia"/>
          <w:szCs w:val="32"/>
        </w:rPr>
        <w:t>农村集体经济组织或者</w:t>
      </w:r>
      <w:r>
        <w:rPr>
          <w:rFonts w:hint="eastAsia"/>
          <w:shd w:val="clear" w:color="auto" w:fill="FFFFFF"/>
        </w:rPr>
        <w:t>合作企业可以申请启动合作企业退出程序</w:t>
      </w:r>
      <w:r>
        <w:rPr>
          <w:rFonts w:hint="eastAsia"/>
        </w:rPr>
        <w:t>。合作企业确需退出，但是改造工作尚未完成的旧村庄，区人民政府或其指定的单位指导</w:t>
      </w:r>
      <w:r>
        <w:rPr>
          <w:rFonts w:hint="eastAsia"/>
          <w:szCs w:val="32"/>
        </w:rPr>
        <w:t>农村集体经济组织</w:t>
      </w:r>
      <w:r>
        <w:rPr>
          <w:rFonts w:hint="eastAsia"/>
        </w:rPr>
        <w:t>启动新的合作企业遴选工作，对退出合作企业的投入进行清算并按照协议约定予以补偿。</w:t>
      </w:r>
    </w:p>
    <w:p>
      <w:pPr>
        <w:ind w:firstLine="640"/>
      </w:pPr>
      <w:r>
        <w:rPr>
          <w:rFonts w:hint="eastAsia"/>
          <w:szCs w:val="32"/>
        </w:rPr>
        <w:t>（一）</w:t>
      </w:r>
      <w:r>
        <w:rPr>
          <w:rFonts w:hint="eastAsia"/>
        </w:rPr>
        <w:t>合作企业违反合作协议符合退出条款；</w:t>
      </w:r>
    </w:p>
    <w:p>
      <w:pPr>
        <w:ind w:firstLine="640"/>
      </w:pPr>
      <w:r>
        <w:rPr>
          <w:rFonts w:hint="eastAsia"/>
        </w:rPr>
        <w:t>（二）因合作企业自身原因，旧村庄改造项目无法继续实施；</w:t>
      </w:r>
    </w:p>
    <w:p>
      <w:pPr>
        <w:ind w:firstLine="640"/>
      </w:pPr>
      <w:r>
        <w:rPr>
          <w:rFonts w:hint="eastAsia"/>
        </w:rPr>
        <w:t>（三）由于国家法律法规和政策变化，国土空间规划调整或市政公共基础设施、公共绿化建设调整，改造方式或模式变更等原因，导致旧村庄改造项目无法继续实施。</w:t>
      </w:r>
    </w:p>
    <w:p>
      <w:pPr>
        <w:ind w:firstLine="640"/>
      </w:pPr>
      <w:r>
        <w:rPr>
          <w:rFonts w:hint="eastAsia"/>
        </w:rPr>
        <w:t>符合退出条件，但合作企业拒不退出的，经农村集体经济组织成员代表大会表决通过，由农村集体经济组织按照合作协议清算退出补偿。清算期间，农村集体经济组织可同步开展新的合作企业招商工作。</w:t>
      </w:r>
    </w:p>
    <w:p>
      <w:pPr>
        <w:ind w:firstLine="640"/>
      </w:pPr>
      <w:r>
        <w:rPr>
          <w:rFonts w:hint="eastAsia"/>
        </w:rPr>
        <w:t>合作企业</w:t>
      </w:r>
      <w:bookmarkStart w:id="47" w:name="_Hlk160815012"/>
      <w:r>
        <w:rPr>
          <w:rFonts w:hint="eastAsia"/>
        </w:rPr>
        <w:t>无法继续推进旧村庄改造</w:t>
      </w:r>
      <w:bookmarkEnd w:id="47"/>
      <w:r>
        <w:rPr>
          <w:rFonts w:hint="eastAsia"/>
        </w:rPr>
        <w:t>的，也可以按照合作协议的相关约定，向第三方转让项目公司股权。项目公司股权发生转让的，应当</w:t>
      </w:r>
      <w:bookmarkStart w:id="48" w:name="_Hlk160815282"/>
      <w:r>
        <w:rPr>
          <w:rFonts w:hint="eastAsia"/>
        </w:rPr>
        <w:t>经</w:t>
      </w:r>
      <w:r>
        <w:rPr>
          <w:rFonts w:hint="eastAsia"/>
          <w:szCs w:val="32"/>
        </w:rPr>
        <w:t>农村集体经济组织成员代表大会表决</w:t>
      </w:r>
      <w:bookmarkEnd w:id="48"/>
      <w:r>
        <w:rPr>
          <w:rFonts w:hint="eastAsia"/>
          <w:szCs w:val="32"/>
        </w:rPr>
        <w:t>通过，且</w:t>
      </w:r>
      <w:r>
        <w:rPr>
          <w:rFonts w:hint="eastAsia"/>
        </w:rPr>
        <w:t>合作企业应确保项目公司股权变更后不影响合作协议和监管协议的履行。</w:t>
      </w:r>
    </w:p>
    <w:p>
      <w:pPr>
        <w:widowControl/>
        <w:numPr>
          <w:ilvl w:val="0"/>
          <w:numId w:val="1"/>
        </w:numPr>
        <w:shd w:val="clear" w:color="auto" w:fill="auto"/>
        <w:ind w:firstLine="640"/>
        <w:outlineLvl w:val="1"/>
        <w:rPr>
          <w:rFonts w:ascii="黑体" w:hAnsi="黑体" w:eastAsia="黑体" w:cs="黑体"/>
          <w:szCs w:val="32"/>
        </w:rPr>
      </w:pPr>
      <w:bookmarkStart w:id="49" w:name="_Toc32477"/>
      <w:bookmarkStart w:id="50" w:name="_Toc4442"/>
      <w:bookmarkStart w:id="51" w:name="_Toc3523"/>
      <w:bookmarkStart w:id="52" w:name="_Toc12807"/>
      <w:bookmarkStart w:id="53" w:name="_Toc130911630"/>
      <w:r>
        <w:rPr>
          <w:rFonts w:hint="eastAsia" w:ascii="黑体" w:hAnsi="黑体" w:eastAsia="黑体" w:cs="黑体"/>
          <w:szCs w:val="32"/>
        </w:rPr>
        <w:t>【自主改造及融资】</w:t>
      </w:r>
      <w:bookmarkEnd w:id="49"/>
      <w:bookmarkEnd w:id="50"/>
      <w:bookmarkEnd w:id="51"/>
      <w:bookmarkEnd w:id="52"/>
      <w:bookmarkEnd w:id="53"/>
    </w:p>
    <w:p>
      <w:pPr>
        <w:shd w:val="clear" w:color="auto" w:fill="auto"/>
        <w:ind w:firstLine="640"/>
      </w:pPr>
      <w:r>
        <w:rPr>
          <w:rFonts w:hint="eastAsia"/>
        </w:rPr>
        <w:t>旧村庄自主改造的，项目实施方案应当综合考虑融资开发成本并给予合理开发利润后确定项目的实施相关条件。</w:t>
      </w:r>
    </w:p>
    <w:p>
      <w:pPr>
        <w:shd w:val="clear" w:color="auto" w:fill="auto"/>
        <w:ind w:firstLine="640"/>
      </w:pPr>
      <w:r>
        <w:rPr>
          <w:rFonts w:hint="eastAsia"/>
          <w:szCs w:val="32"/>
        </w:rPr>
        <w:t>农</w:t>
      </w:r>
      <w:r>
        <w:rPr>
          <w:rFonts w:hint="eastAsia"/>
        </w:rPr>
        <w:t>村集体经济组织或其全资子公司取得融资地块土地使用权后进行转让的，应当符合《中华人民共和国城市房地产管理法》有关规定。</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【自主改造引入社会资本】</w:t>
      </w:r>
    </w:p>
    <w:p>
      <w:pPr>
        <w:shd w:val="clear" w:color="auto" w:fill="auto"/>
        <w:ind w:firstLine="640"/>
      </w:pPr>
      <w:r>
        <w:rPr>
          <w:rFonts w:hint="eastAsia"/>
        </w:rPr>
        <w:t>旧村庄自主改造项目中需引入社会资本的，应当按照本细则引入合作企业的规定执行。</w:t>
      </w:r>
    </w:p>
    <w:p>
      <w:pPr>
        <w:shd w:val="clear" w:color="auto" w:fill="auto"/>
        <w:ind w:firstLine="640"/>
      </w:pPr>
      <w:r>
        <w:rPr>
          <w:rFonts w:hint="eastAsia"/>
        </w:rPr>
        <w:t>负责开展自主改造的</w:t>
      </w:r>
      <w:r>
        <w:rPr>
          <w:rFonts w:hint="eastAsia"/>
          <w:szCs w:val="32"/>
        </w:rPr>
        <w:t>农</w:t>
      </w:r>
      <w:r>
        <w:rPr>
          <w:rFonts w:hint="eastAsia"/>
        </w:rPr>
        <w:t>村集体经济组织全资子公司转让部分股权的，应当视为合作改造，按照本细则引入合作企业的规定执行。</w:t>
      </w:r>
    </w:p>
    <w:p>
      <w:pPr>
        <w:shd w:val="clear" w:color="auto" w:fill="auto"/>
        <w:ind w:firstLine="640"/>
      </w:pPr>
      <w:r>
        <w:rPr>
          <w:rFonts w:hint="eastAsia"/>
        </w:rPr>
        <w:t>负责开展自主改造的</w:t>
      </w:r>
      <w:r>
        <w:rPr>
          <w:rFonts w:hint="eastAsia"/>
          <w:szCs w:val="32"/>
        </w:rPr>
        <w:t>农</w:t>
      </w:r>
      <w:r>
        <w:rPr>
          <w:rFonts w:hint="eastAsia"/>
        </w:rPr>
        <w:t>村集体经济组织全资子公司转让全部股权的，</w:t>
      </w:r>
      <w:r>
        <w:rPr>
          <w:rFonts w:hint="eastAsia"/>
          <w:szCs w:val="32"/>
        </w:rPr>
        <w:t>农</w:t>
      </w:r>
      <w:r>
        <w:rPr>
          <w:rFonts w:hint="eastAsia"/>
        </w:rPr>
        <w:t>村集体经济组织依据广东省农村集体经济组织管理有关规定表决通过后，按照农村集体资产交易管理有关规定，在市公共资源交易平台或具备农村产权交易资质的机构或所在区一级农村集体资产交易服务机构公开挂牌转让。</w:t>
      </w:r>
    </w:p>
    <w:p>
      <w:pPr>
        <w:widowControl/>
        <w:numPr>
          <w:ilvl w:val="0"/>
          <w:numId w:val="1"/>
        </w:numPr>
        <w:shd w:val="clear" w:color="auto" w:fill="auto"/>
        <w:ind w:firstLine="640"/>
        <w:outlineLvl w:val="1"/>
        <w:rPr>
          <w:rFonts w:ascii="黑体" w:hAnsi="黑体" w:eastAsia="黑体"/>
          <w:szCs w:val="32"/>
        </w:rPr>
      </w:pPr>
      <w:r>
        <w:rPr>
          <w:rFonts w:hint="eastAsia" w:ascii="黑体" w:hAnsi="黑体" w:eastAsia="黑体"/>
          <w:szCs w:val="32"/>
        </w:rPr>
        <w:t>【政府补位】</w:t>
      </w:r>
    </w:p>
    <w:p>
      <w:pPr>
        <w:ind w:firstLine="640"/>
        <w:rPr>
          <w:rFonts w:cs="仿宋"/>
          <w:bCs/>
          <w:szCs w:val="28"/>
        </w:rPr>
      </w:pPr>
      <w:r>
        <w:t>对于市场主体主导的旧村庄全面改造项目，在政府规定的期限内无法与所有原权利主体达成搬迁补偿协议的，</w:t>
      </w:r>
      <w:r>
        <w:rPr>
          <w:rFonts w:hint="eastAsia"/>
        </w:rPr>
        <w:t>市场主体征得农村集体经济组织以及不少于三分之二的村民或户代表同意的</w:t>
      </w:r>
      <w:r>
        <w:t>，可以申请将项目转为由政府主导的方式推进。市、区人民政府可以在现有工作基础上继续推进土地、房产征收（收回）工作，并对市场主体前期投入费用进行核定后予以合理补偿。</w:t>
      </w:r>
    </w:p>
    <w:p>
      <w:pPr>
        <w:widowControl/>
        <w:numPr>
          <w:ilvl w:val="0"/>
          <w:numId w:val="1"/>
        </w:numPr>
        <w:shd w:val="clear" w:color="auto" w:fill="auto"/>
        <w:ind w:firstLine="640"/>
        <w:outlineLvl w:val="1"/>
        <w:rPr>
          <w:szCs w:val="32"/>
        </w:rPr>
      </w:pPr>
      <w:bookmarkStart w:id="54" w:name="_Toc5335"/>
      <w:bookmarkStart w:id="55" w:name="_Toc27690"/>
      <w:bookmarkStart w:id="56" w:name="_Toc22018"/>
      <w:bookmarkStart w:id="57" w:name="_Toc130911632"/>
      <w:bookmarkStart w:id="58" w:name="_Toc29951"/>
      <w:r>
        <w:rPr>
          <w:rFonts w:hint="eastAsia"/>
          <w:szCs w:val="32"/>
        </w:rPr>
        <w:t>【</w:t>
      </w:r>
      <w:r>
        <w:rPr>
          <w:rFonts w:hint="eastAsia" w:ascii="黑体" w:hAnsi="黑体" w:eastAsia="黑体" w:cs="黑体"/>
          <w:szCs w:val="32"/>
        </w:rPr>
        <w:t>实施时序</w:t>
      </w:r>
      <w:r>
        <w:rPr>
          <w:rFonts w:hint="eastAsia"/>
          <w:szCs w:val="32"/>
        </w:rPr>
        <w:t>】</w:t>
      </w:r>
      <w:bookmarkEnd w:id="54"/>
      <w:bookmarkEnd w:id="55"/>
      <w:bookmarkEnd w:id="56"/>
      <w:bookmarkEnd w:id="57"/>
      <w:bookmarkEnd w:id="58"/>
    </w:p>
    <w:p>
      <w:pPr>
        <w:ind w:firstLine="640"/>
      </w:pPr>
      <w:bookmarkStart w:id="59" w:name="_Hlk129599699"/>
      <w:r>
        <w:rPr>
          <w:rFonts w:hint="eastAsia"/>
        </w:rPr>
        <w:t>旧村庄全面改造项目</w:t>
      </w:r>
      <w:bookmarkEnd w:id="59"/>
      <w:r>
        <w:rPr>
          <w:rFonts w:hint="eastAsia"/>
        </w:rPr>
        <w:t>按“民生先行、灵活分片、动态分期”的原则，可分地块申请办理规划、用地、建设等许可事项。</w:t>
      </w:r>
    </w:p>
    <w:p>
      <w:pPr>
        <w:ind w:firstLine="640"/>
      </w:pPr>
      <w:r>
        <w:rPr>
          <w:rFonts w:hint="eastAsia"/>
        </w:rPr>
        <w:t>（一）依据已批复旧村庄改造项目实施方案的分期计划并结合项目实际推进情况确定申请规划条件和土地供应的用地范围（含分片划分），最小分片应不小于国土空间详细规划的导则地块。依规划条件红线范围申请建设用地供应。当期融资用地不得先于当期安置地块、独立设置的市政公用设施和公共服务设施完成供地和建设。对因留守户等问题确需调整分期计划的，可经农村集体经济组织与属地镇（街）同意后，报原审批机构审定调整方案。</w:t>
      </w:r>
    </w:p>
    <w:p>
      <w:pPr>
        <w:ind w:firstLine="640"/>
      </w:pPr>
      <w:r>
        <w:rPr>
          <w:rFonts w:hint="eastAsia"/>
        </w:rPr>
        <w:t>（二）居住用地内（安置房用地除外）独立设置的市政公用设施和公共服务设施应当在分期开发规划地块建设总量（不含市政公用设施和公共服务设施）完成</w:t>
      </w:r>
      <w:r>
        <w:t>50</w:t>
      </w:r>
      <w:r>
        <w:rPr>
          <w:rFonts w:hint="eastAsia"/>
        </w:rPr>
        <w:t>％前建设完毕，并通过规划条件核实。其中，垃圾压缩站、变电站、公共厕所、综合医院、社区卫生服务中心、社区卫生服务站、消防站、派出所、燃气设施、公交首末站、老年人福利设施、幼儿园、中小学等设施应当先于住宅首期工程或与其同时申请建设工程规划许可证，并在住宅首期工程预售前先行验收，通过规划条件核实。符合预售管理有关规定的从其规定执行。</w:t>
      </w:r>
    </w:p>
    <w:p>
      <w:pPr>
        <w:ind w:firstLine="640"/>
      </w:pPr>
      <w:r>
        <w:rPr>
          <w:rFonts w:hint="eastAsia"/>
        </w:rPr>
        <w:t>（三）优先保护历史文化遗产，涉及历史文化遗产的修缮、迁移等保护工程，应当与公共服务设施和市政服务设施的实施建设同步推进。</w:t>
      </w:r>
    </w:p>
    <w:p>
      <w:pPr>
        <w:widowControl/>
        <w:numPr>
          <w:ilvl w:val="0"/>
          <w:numId w:val="1"/>
        </w:numPr>
        <w:shd w:val="clear" w:color="auto" w:fill="auto"/>
        <w:ind w:firstLine="640"/>
        <w:outlineLvl w:val="1"/>
        <w:rPr>
          <w:rFonts w:ascii="黑体" w:hAnsi="黑体" w:eastAsia="黑体"/>
        </w:rPr>
      </w:pPr>
      <w:bookmarkStart w:id="60" w:name="_Toc25882"/>
      <w:bookmarkStart w:id="61" w:name="_Toc19344"/>
      <w:bookmarkStart w:id="62" w:name="_Toc1736"/>
      <w:bookmarkStart w:id="63" w:name="_Toc130911633"/>
      <w:bookmarkStart w:id="64" w:name="_Toc21932"/>
      <w:r>
        <w:rPr>
          <w:rFonts w:hint="eastAsia" w:ascii="黑体" w:hAnsi="黑体" w:eastAsia="黑体"/>
        </w:rPr>
        <w:t>【复建安置资金监管】</w:t>
      </w:r>
      <w:bookmarkEnd w:id="60"/>
      <w:bookmarkEnd w:id="61"/>
      <w:bookmarkEnd w:id="62"/>
      <w:bookmarkEnd w:id="63"/>
      <w:bookmarkEnd w:id="64"/>
    </w:p>
    <w:p>
      <w:pPr>
        <w:shd w:val="clear" w:color="auto" w:fill="auto"/>
        <w:ind w:firstLine="640"/>
        <w:rPr>
          <w:rFonts w:ascii="方正仿宋_GBK" w:eastAsia="方正仿宋_GBK"/>
        </w:rPr>
      </w:pPr>
      <w:r>
        <w:rPr>
          <w:rFonts w:hint="eastAsia"/>
        </w:rPr>
        <w:t>合作企业或融资地块竞得人应当按规定在旧村庄动迁之前，在指定银行设立复建安置资金专用账户，结合项目分期开发时序，按要求足额存入复建安置资金。复建安置资金缴存应符合本市旧村庄全面改造项目复建安置资金监管的有关规定。</w:t>
      </w:r>
    </w:p>
    <w:p>
      <w:pPr>
        <w:widowControl/>
        <w:numPr>
          <w:ilvl w:val="0"/>
          <w:numId w:val="1"/>
        </w:numPr>
        <w:shd w:val="clear" w:color="auto" w:fill="auto"/>
        <w:ind w:firstLine="640"/>
        <w:outlineLvl w:val="1"/>
        <w:rPr>
          <w:szCs w:val="32"/>
        </w:rPr>
      </w:pPr>
      <w:bookmarkStart w:id="65" w:name="_Toc7705"/>
      <w:bookmarkStart w:id="66" w:name="_Toc19510"/>
      <w:bookmarkStart w:id="67" w:name="_Toc130911634"/>
      <w:bookmarkStart w:id="68" w:name="_Toc29858"/>
      <w:bookmarkStart w:id="69" w:name="_Toc20510"/>
      <w:r>
        <w:rPr>
          <w:rFonts w:hint="eastAsia"/>
          <w:szCs w:val="32"/>
        </w:rPr>
        <w:t>【</w:t>
      </w:r>
      <w:r>
        <w:rPr>
          <w:rFonts w:hint="eastAsia" w:ascii="黑体" w:hAnsi="黑体" w:eastAsia="黑体" w:cs="黑体"/>
          <w:szCs w:val="32"/>
        </w:rPr>
        <w:t>动迁原则</w:t>
      </w:r>
      <w:r>
        <w:rPr>
          <w:rFonts w:hint="eastAsia"/>
          <w:szCs w:val="32"/>
        </w:rPr>
        <w:t>】</w:t>
      </w:r>
      <w:bookmarkEnd w:id="65"/>
      <w:bookmarkEnd w:id="66"/>
      <w:bookmarkEnd w:id="67"/>
      <w:bookmarkEnd w:id="68"/>
      <w:bookmarkEnd w:id="69"/>
    </w:p>
    <w:p>
      <w:pPr>
        <w:widowControl/>
        <w:shd w:val="clear" w:color="auto" w:fill="auto"/>
        <w:ind w:firstLine="640"/>
        <w:rPr>
          <w:szCs w:val="32"/>
        </w:rPr>
      </w:pPr>
      <w:r>
        <w:rPr>
          <w:rFonts w:hint="eastAsia"/>
          <w:szCs w:val="32"/>
        </w:rPr>
        <w:t>旧村庄改造</w:t>
      </w:r>
      <w:r>
        <w:rPr>
          <w:rFonts w:hint="eastAsia" w:ascii="等线" w:hAnsi="等线"/>
          <w:szCs w:val="32"/>
        </w:rPr>
        <w:t>搬</w:t>
      </w:r>
      <w:r>
        <w:rPr>
          <w:rFonts w:hint="eastAsia"/>
          <w:szCs w:val="32"/>
        </w:rPr>
        <w:t>迁补偿安置工作应当遵循</w:t>
      </w:r>
      <w:r>
        <w:rPr>
          <w:rFonts w:hint="eastAsia" w:ascii="仿宋_GB2312"/>
          <w:szCs w:val="32"/>
        </w:rPr>
        <w:t>“</w:t>
      </w:r>
      <w:r>
        <w:rPr>
          <w:rFonts w:hint="eastAsia"/>
          <w:szCs w:val="32"/>
        </w:rPr>
        <w:t>先安置、后</w:t>
      </w:r>
      <w:r>
        <w:rPr>
          <w:rFonts w:hint="eastAsia" w:ascii="等线" w:hAnsi="等线"/>
          <w:szCs w:val="32"/>
        </w:rPr>
        <w:t>搬</w:t>
      </w:r>
      <w:r>
        <w:rPr>
          <w:rFonts w:hint="eastAsia"/>
          <w:szCs w:val="32"/>
        </w:rPr>
        <w:t>迁</w:t>
      </w:r>
      <w:r>
        <w:rPr>
          <w:rFonts w:hint="eastAsia" w:ascii="仿宋_GB2312"/>
          <w:szCs w:val="32"/>
        </w:rPr>
        <w:t>”</w:t>
      </w:r>
      <w:r>
        <w:rPr>
          <w:rFonts w:hint="eastAsia"/>
          <w:szCs w:val="32"/>
        </w:rPr>
        <w:t>的原则。改造过程中要先行启动安置房建设，在保证工程质量的前提下，加快项目建设，及时妥善安置搬迁村民。</w:t>
      </w:r>
    </w:p>
    <w:p>
      <w:pPr>
        <w:widowControl/>
        <w:shd w:val="clear" w:color="auto" w:fill="auto"/>
        <w:ind w:firstLine="640"/>
        <w:rPr>
          <w:szCs w:val="32"/>
        </w:rPr>
      </w:pPr>
      <w:r>
        <w:rPr>
          <w:rFonts w:hint="eastAsia"/>
          <w:szCs w:val="32"/>
        </w:rPr>
        <w:t>任何单位和个人不得采取暴力、威胁或违反规定中断供水、供热、供气、供电和道路通行等非法方式迫使搬迁。发生重大恶性事件的，严肃查处并追究责任。</w:t>
      </w:r>
    </w:p>
    <w:p>
      <w:pPr>
        <w:widowControl/>
        <w:numPr>
          <w:ilvl w:val="0"/>
          <w:numId w:val="1"/>
        </w:numPr>
        <w:shd w:val="clear" w:color="auto" w:fill="auto"/>
        <w:ind w:firstLine="640"/>
        <w:outlineLvl w:val="1"/>
        <w:rPr>
          <w:szCs w:val="32"/>
        </w:rPr>
      </w:pPr>
      <w:bookmarkStart w:id="70" w:name="_Toc130911635"/>
      <w:bookmarkStart w:id="71" w:name="_Toc19734"/>
      <w:bookmarkStart w:id="72" w:name="_Toc28742"/>
      <w:bookmarkStart w:id="73" w:name="_Toc30137"/>
      <w:bookmarkStart w:id="74" w:name="_Toc6231"/>
      <w:r>
        <w:rPr>
          <w:rFonts w:hint="eastAsia" w:ascii="黑体" w:hAnsi="黑体" w:eastAsia="黑体" w:cs="黑体"/>
          <w:szCs w:val="32"/>
        </w:rPr>
        <w:t>【安置房鼓励措施】</w:t>
      </w:r>
      <w:bookmarkEnd w:id="70"/>
      <w:bookmarkEnd w:id="71"/>
      <w:bookmarkEnd w:id="72"/>
      <w:bookmarkEnd w:id="73"/>
      <w:bookmarkEnd w:id="74"/>
    </w:p>
    <w:p>
      <w:pPr>
        <w:shd w:val="clear" w:color="auto" w:fill="auto"/>
        <w:ind w:firstLine="640"/>
        <w:rPr>
          <w:szCs w:val="32"/>
        </w:rPr>
      </w:pPr>
      <w:r>
        <w:rPr>
          <w:rFonts w:hint="eastAsia"/>
        </w:rPr>
        <w:t>鼓励利用</w:t>
      </w:r>
      <w:r>
        <w:rPr>
          <w:rFonts w:hint="eastAsia"/>
          <w:szCs w:val="32"/>
        </w:rPr>
        <w:t>集体低效物业用地</w:t>
      </w:r>
      <w:r>
        <w:rPr>
          <w:rFonts w:hint="eastAsia"/>
        </w:rPr>
        <w:t>建设安置房，先行进行村民安置。鼓励利用房票进行安置。鼓励早签约、多得益、先选房。区人民政府可制定具体的奖励办法。</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【搬迁补偿安置争议行政处理】</w:t>
      </w:r>
    </w:p>
    <w:p>
      <w:pPr>
        <w:shd w:val="clear" w:color="auto" w:fill="auto"/>
        <w:ind w:firstLine="640"/>
        <w:rPr>
          <w:szCs w:val="32"/>
        </w:rPr>
      </w:pPr>
      <w:r>
        <w:rPr>
          <w:rFonts w:hint="eastAsia"/>
          <w:szCs w:val="32"/>
        </w:rPr>
        <w:t>旧村庄改造项目经依法批准收回集体土地使用权后，原集体土地使用权人因无法与改造主体达成补偿安置协议，在规定期限内拒不交回土地的，改造主体或原集体土地使用权人可向项目所在地的区人民政府申请行政处理，各区人民政府应当指定职能部门作为行政处理负责机构。</w:t>
      </w:r>
    </w:p>
    <w:p>
      <w:pPr>
        <w:shd w:val="clear" w:color="auto" w:fill="auto"/>
        <w:ind w:firstLine="640"/>
        <w:rPr>
          <w:szCs w:val="32"/>
        </w:rPr>
      </w:pPr>
      <w:r>
        <w:rPr>
          <w:rFonts w:hint="eastAsia"/>
          <w:szCs w:val="32"/>
        </w:rPr>
        <w:t>行政处理的当事人对区人民政府作出的行政处理决定不服，可以依法申请行政复议或者向有管辖权的法院提起行政诉讼。当事人在法定期限内不申请行政复议或不提起行政诉讼，又不履行行政处理决定的，行政处理机构或当事人可以依法向有管辖权的人民法院申请强制执行。</w:t>
      </w:r>
    </w:p>
    <w:p>
      <w:pPr>
        <w:widowControl/>
        <w:numPr>
          <w:ilvl w:val="0"/>
          <w:numId w:val="1"/>
        </w:numPr>
        <w:shd w:val="clear" w:color="auto" w:fill="auto"/>
        <w:ind w:firstLine="640"/>
        <w:outlineLvl w:val="1"/>
        <w:rPr>
          <w:szCs w:val="32"/>
        </w:rPr>
      </w:pPr>
      <w:bookmarkStart w:id="75" w:name="_Toc27634"/>
      <w:bookmarkStart w:id="76" w:name="_Toc20462"/>
      <w:bookmarkStart w:id="77" w:name="_Toc130911637"/>
      <w:bookmarkStart w:id="78" w:name="_Toc7214"/>
      <w:bookmarkStart w:id="79" w:name="_Toc28287"/>
      <w:r>
        <w:rPr>
          <w:rFonts w:hint="eastAsia"/>
          <w:szCs w:val="32"/>
        </w:rPr>
        <w:t>【</w:t>
      </w:r>
      <w:r>
        <w:rPr>
          <w:rFonts w:hint="eastAsia" w:ascii="黑体" w:hAnsi="黑体" w:eastAsia="黑体" w:cs="黑体"/>
          <w:szCs w:val="32"/>
        </w:rPr>
        <w:t>不动产产权注销登记</w:t>
      </w:r>
      <w:r>
        <w:rPr>
          <w:rFonts w:hint="eastAsia"/>
          <w:szCs w:val="32"/>
        </w:rPr>
        <w:t>】</w:t>
      </w:r>
      <w:bookmarkEnd w:id="75"/>
      <w:bookmarkEnd w:id="76"/>
      <w:bookmarkEnd w:id="77"/>
      <w:bookmarkEnd w:id="78"/>
      <w:bookmarkEnd w:id="79"/>
    </w:p>
    <w:p>
      <w:pPr>
        <w:shd w:val="clear" w:color="auto" w:fill="auto"/>
        <w:ind w:firstLine="640"/>
        <w:rPr>
          <w:szCs w:val="32"/>
        </w:rPr>
      </w:pPr>
      <w:r>
        <w:rPr>
          <w:rFonts w:hint="eastAsia"/>
          <w:szCs w:val="32"/>
        </w:rPr>
        <w:t>旧村庄改造范围内，已签订搬迁补偿安置协议并已依法补偿的不动产，原权利主体或者其委托的主体应当依法申请办理原不动产权利注销登记。</w:t>
      </w:r>
      <w:r>
        <w:rPr>
          <w:rFonts w:hint="eastAsia"/>
        </w:rPr>
        <w:t>搬迁补偿安置协议</w:t>
      </w:r>
      <w:r>
        <w:rPr>
          <w:rFonts w:hint="eastAsia"/>
          <w:szCs w:val="32"/>
        </w:rPr>
        <w:t>对办理原不动产权利注销登记已有约定的，按照约定办理，但不得违反法律、法规的强制性规定。国有土地上房屋征收决定、集体土地征收决定、收回集体土地使用权决定生效后，区人民政府书面通知不动产登记机构办理原不动产权利注销登记之前，应当足额支付或者足额提存公证补偿费用。</w:t>
      </w:r>
    </w:p>
    <w:p>
      <w:pPr>
        <w:shd w:val="clear" w:color="auto" w:fill="auto"/>
        <w:ind w:firstLine="640"/>
        <w:rPr>
          <w:szCs w:val="32"/>
        </w:rPr>
      </w:pPr>
      <w:r>
        <w:rPr>
          <w:rFonts w:hint="eastAsia"/>
          <w:szCs w:val="32"/>
        </w:rPr>
        <w:t>被搬迁人按规定取得的搬迁安置住宅不受商品房限购政策限制。</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【节余量安排】</w:t>
      </w:r>
    </w:p>
    <w:p>
      <w:pPr>
        <w:widowControl/>
        <w:shd w:val="clear" w:color="auto" w:fill="auto"/>
        <w:ind w:firstLine="640" w:firstLineChars="0"/>
        <w:rPr>
          <w:szCs w:val="32"/>
        </w:rPr>
      </w:pPr>
      <w:r>
        <w:rPr>
          <w:rFonts w:hint="eastAsia"/>
          <w:szCs w:val="32"/>
        </w:rPr>
        <w:t>旧村庄改造项目实施方案确定的建设量与国土空间详细规划的建设量相较有节余的，应当由市、区人民政府统筹安排，</w:t>
      </w:r>
      <w:r>
        <w:rPr>
          <w:rFonts w:hint="eastAsia" w:cs="仿宋"/>
          <w:bCs/>
          <w:szCs w:val="28"/>
        </w:rPr>
        <w:t>优先用于政策性住房配置、历史文化保护项目或者老旧小区微改造项目的组合实施，以及区域公共服务设施配建、“三旧”改造异地平衡等。经</w:t>
      </w:r>
      <w:r>
        <w:rPr>
          <w:rFonts w:hint="eastAsia"/>
          <w:szCs w:val="32"/>
        </w:rPr>
        <w:t>市、区人民政府同意，节余量可以按照</w:t>
      </w:r>
      <w:r>
        <w:rPr>
          <w:szCs w:val="32"/>
        </w:rPr>
        <w:t>4</w:t>
      </w:r>
      <w:r>
        <w:rPr>
          <w:rFonts w:hint="eastAsia"/>
          <w:szCs w:val="32"/>
        </w:rPr>
        <w:t>∶</w:t>
      </w:r>
      <w:r>
        <w:rPr>
          <w:szCs w:val="32"/>
        </w:rPr>
        <w:t>3</w:t>
      </w:r>
      <w:r>
        <w:rPr>
          <w:rFonts w:hint="eastAsia"/>
          <w:szCs w:val="32"/>
        </w:rPr>
        <w:t>∶</w:t>
      </w:r>
      <w:r>
        <w:rPr>
          <w:szCs w:val="32"/>
        </w:rPr>
        <w:t>3</w:t>
      </w:r>
      <w:r>
        <w:rPr>
          <w:rFonts w:hint="eastAsia"/>
          <w:szCs w:val="32"/>
        </w:rPr>
        <w:t>的比例由市人民政府、区人民政府、农村集体经济组织进行分配。</w:t>
      </w:r>
    </w:p>
    <w:p>
      <w:pPr>
        <w:widowControl/>
        <w:shd w:val="clear" w:color="auto" w:fill="auto"/>
        <w:ind w:firstLine="640" w:firstLineChars="0"/>
        <w:rPr>
          <w:szCs w:val="32"/>
        </w:rPr>
      </w:pPr>
    </w:p>
    <w:p>
      <w:pPr>
        <w:shd w:val="clear" w:color="auto" w:fill="auto"/>
        <w:spacing w:line="264" w:lineRule="auto"/>
        <w:ind w:firstLine="640"/>
        <w:jc w:val="center"/>
        <w:outlineLvl w:val="0"/>
        <w:rPr>
          <w:rFonts w:ascii="黑体" w:hAnsi="黑体" w:eastAsia="黑体"/>
          <w:szCs w:val="32"/>
        </w:rPr>
      </w:pPr>
      <w:bookmarkStart w:id="80" w:name="_Toc24643"/>
      <w:bookmarkStart w:id="81" w:name="_Toc21368"/>
      <w:bookmarkStart w:id="82" w:name="_Toc6684"/>
      <w:bookmarkStart w:id="83" w:name="_Toc9459"/>
      <w:bookmarkStart w:id="84" w:name="_Toc130911638"/>
      <w:r>
        <w:rPr>
          <w:rFonts w:hint="eastAsia" w:ascii="黑体" w:hAnsi="黑体" w:eastAsia="黑体"/>
          <w:szCs w:val="32"/>
        </w:rPr>
        <w:t>第五章</w:t>
      </w:r>
      <w:r>
        <w:rPr>
          <w:rFonts w:ascii="黑体" w:hAnsi="黑体" w:eastAsia="黑体"/>
          <w:szCs w:val="32"/>
        </w:rPr>
        <w:t xml:space="preserve"> </w:t>
      </w:r>
      <w:r>
        <w:rPr>
          <w:rFonts w:hint="eastAsia" w:ascii="黑体" w:hAnsi="黑体" w:eastAsia="黑体"/>
          <w:szCs w:val="32"/>
        </w:rPr>
        <w:t>用地处理</w:t>
      </w:r>
      <w:bookmarkEnd w:id="80"/>
      <w:bookmarkEnd w:id="81"/>
    </w:p>
    <w:p>
      <w:pPr>
        <w:widowControl/>
        <w:numPr>
          <w:ilvl w:val="0"/>
          <w:numId w:val="1"/>
        </w:numPr>
        <w:shd w:val="clear" w:color="auto" w:fill="auto"/>
        <w:ind w:firstLine="640"/>
        <w:outlineLvl w:val="1"/>
        <w:rPr>
          <w:rFonts w:ascii="黑体" w:hAnsi="黑体" w:eastAsia="黑体" w:cs="黑体"/>
          <w:szCs w:val="32"/>
        </w:rPr>
      </w:pPr>
      <w:bookmarkStart w:id="85" w:name="_Toc24075"/>
      <w:bookmarkStart w:id="86" w:name="_Toc7209"/>
      <w:r>
        <w:rPr>
          <w:rFonts w:hint="eastAsia" w:ascii="黑体" w:hAnsi="黑体" w:eastAsia="黑体" w:cs="黑体"/>
          <w:szCs w:val="32"/>
        </w:rPr>
        <w:t>【留用地统筹利用】</w:t>
      </w:r>
      <w:bookmarkEnd w:id="85"/>
      <w:bookmarkEnd w:id="86"/>
    </w:p>
    <w:p>
      <w:pPr>
        <w:widowControl/>
        <w:shd w:val="clear" w:color="auto" w:fill="auto"/>
        <w:ind w:firstLine="640"/>
        <w:rPr>
          <w:szCs w:val="32"/>
        </w:rPr>
      </w:pPr>
      <w:r>
        <w:rPr>
          <w:rFonts w:hint="eastAsia"/>
          <w:szCs w:val="32"/>
        </w:rPr>
        <w:t>农村集体经济组织可将留用地或未兑现的留用地指标纳入旧村庄改造一并实施。确因用地和规划条件限制无法实现资金平衡的改造项目，也可以将本村权属范围内符合国土空间总体规划的其他用地纳入旧村庄改造范围一并实施并抵扣留用地指标。</w:t>
      </w:r>
    </w:p>
    <w:p>
      <w:pPr>
        <w:widowControl/>
        <w:shd w:val="clear" w:color="auto" w:fill="auto"/>
        <w:ind w:firstLine="640"/>
        <w:rPr>
          <w:szCs w:val="32"/>
        </w:rPr>
      </w:pPr>
      <w:r>
        <w:rPr>
          <w:rFonts w:hint="eastAsia"/>
          <w:szCs w:val="32"/>
        </w:rPr>
        <w:t>前款纳入旧村庄改造的留用地的开发权益，按照留用地管理规定的用途计算并在改造范围内统筹落实，其具体地块建设用途可以结合旧村庄改造需求统筹确定，包括居住、商业、商务、工业等。</w:t>
      </w:r>
    </w:p>
    <w:p>
      <w:pPr>
        <w:widowControl/>
        <w:shd w:val="clear" w:color="auto" w:fill="auto"/>
        <w:ind w:firstLine="640"/>
        <w:rPr>
          <w:szCs w:val="32"/>
        </w:rPr>
      </w:pPr>
      <w:r>
        <w:rPr>
          <w:rFonts w:hint="eastAsia"/>
          <w:szCs w:val="32"/>
        </w:rPr>
        <w:t>旧村庄改造涉及的留用地指标抵扣，按以下情形分类处理：</w:t>
      </w:r>
    </w:p>
    <w:p>
      <w:pPr>
        <w:widowControl/>
        <w:shd w:val="clear" w:color="auto" w:fill="auto"/>
        <w:ind w:firstLine="640"/>
        <w:rPr>
          <w:szCs w:val="32"/>
        </w:rPr>
      </w:pPr>
      <w:r>
        <w:rPr>
          <w:rFonts w:hint="eastAsia"/>
          <w:szCs w:val="32"/>
        </w:rPr>
        <w:t>（一）已纳入省“三旧”改造地块数据库范围内完善手续的，无需抵扣留用地指标。</w:t>
      </w:r>
    </w:p>
    <w:p>
      <w:pPr>
        <w:widowControl/>
        <w:shd w:val="clear" w:color="auto" w:fill="auto"/>
        <w:ind w:firstLine="640"/>
        <w:rPr>
          <w:szCs w:val="32"/>
        </w:rPr>
      </w:pPr>
      <w:r>
        <w:rPr>
          <w:rFonts w:hint="eastAsia"/>
          <w:szCs w:val="32"/>
        </w:rPr>
        <w:t>（二）未纳入省“三旧”改造地块数据库范围，但在第二次全国土地调查确定为建设用地需完善手续的历史遗留建设用地，纳入改造的，按照历史遗留建设用地面积</w:t>
      </w:r>
      <w:r>
        <w:rPr>
          <w:szCs w:val="32"/>
        </w:rPr>
        <w:t>50%</w:t>
      </w:r>
      <w:r>
        <w:rPr>
          <w:rFonts w:hint="eastAsia"/>
          <w:szCs w:val="32"/>
        </w:rPr>
        <w:t>抵扣留用地指标。</w:t>
      </w:r>
    </w:p>
    <w:p>
      <w:pPr>
        <w:widowControl/>
        <w:shd w:val="clear" w:color="auto" w:fill="auto"/>
        <w:ind w:firstLine="640"/>
        <w:rPr>
          <w:szCs w:val="32"/>
        </w:rPr>
      </w:pPr>
      <w:r>
        <w:rPr>
          <w:rFonts w:hint="eastAsia"/>
          <w:szCs w:val="32"/>
        </w:rPr>
        <w:t>（三）其他纳入改造的新增建设用地，按照新增建设用地面积</w:t>
      </w:r>
      <w:r>
        <w:rPr>
          <w:szCs w:val="32"/>
        </w:rPr>
        <w:t>1</w:t>
      </w:r>
      <w:r>
        <w:rPr>
          <w:rFonts w:hint="eastAsia"/>
          <w:szCs w:val="32"/>
        </w:rPr>
        <w:t>：</w:t>
      </w:r>
      <w:r>
        <w:rPr>
          <w:szCs w:val="32"/>
        </w:rPr>
        <w:t>1</w:t>
      </w:r>
      <w:r>
        <w:rPr>
          <w:rFonts w:hint="eastAsia"/>
          <w:szCs w:val="32"/>
        </w:rPr>
        <w:t>抵扣留用地指标。</w:t>
      </w:r>
    </w:p>
    <w:p>
      <w:pPr>
        <w:widowControl/>
        <w:shd w:val="clear" w:color="auto" w:fill="auto"/>
        <w:ind w:firstLine="640"/>
        <w:rPr>
          <w:szCs w:val="32"/>
        </w:rPr>
      </w:pPr>
      <w:r>
        <w:rPr>
          <w:rFonts w:hint="eastAsia"/>
          <w:szCs w:val="32"/>
        </w:rPr>
        <w:t>（四）村域范围内全部土地纳入改造范围的，未兑现的留用地指标需一并纳入改造并在项目实施方案中明确落实意见，今后征地不再安排实物留地。</w:t>
      </w:r>
    </w:p>
    <w:p>
      <w:pPr>
        <w:widowControl/>
        <w:numPr>
          <w:ilvl w:val="0"/>
          <w:numId w:val="1"/>
        </w:numPr>
        <w:shd w:val="clear" w:color="auto" w:fill="auto"/>
        <w:ind w:firstLine="640"/>
        <w:outlineLvl w:val="1"/>
        <w:rPr>
          <w:rFonts w:ascii="黑体" w:hAnsi="黑体" w:eastAsia="黑体" w:cs="黑体"/>
          <w:szCs w:val="32"/>
        </w:rPr>
      </w:pPr>
      <w:bookmarkStart w:id="87" w:name="_Toc814"/>
      <w:bookmarkStart w:id="88" w:name="_Toc9418"/>
      <w:r>
        <w:rPr>
          <w:rFonts w:hint="eastAsia" w:ascii="黑体" w:hAnsi="黑体" w:eastAsia="黑体" w:cs="黑体"/>
          <w:szCs w:val="32"/>
        </w:rPr>
        <w:t>【土地整合】</w:t>
      </w:r>
      <w:bookmarkEnd w:id="87"/>
      <w:bookmarkEnd w:id="88"/>
    </w:p>
    <w:p>
      <w:pPr>
        <w:ind w:firstLine="640"/>
      </w:pPr>
      <w:r>
        <w:rPr>
          <w:rFonts w:hint="eastAsia"/>
          <w:szCs w:val="32"/>
        </w:rPr>
        <w:t>确因用地和规划条件限制无法实现资金平衡</w:t>
      </w:r>
      <w:r>
        <w:rPr>
          <w:rFonts w:hint="eastAsia"/>
        </w:rPr>
        <w:t>，或涉及重点区域、重要地段、重要节点，或需要成片连片统筹的项目，可以通过实施主体收购邻近的国有建设用地（闲置土地除外），或将政府储备用地与农村集体经济组织用地、集体建设用地之间置换，实现节约集约用地。</w:t>
      </w:r>
    </w:p>
    <w:p>
      <w:pPr>
        <w:ind w:firstLine="640"/>
      </w:pPr>
      <w:r>
        <w:rPr>
          <w:rFonts w:hint="eastAsia"/>
        </w:rPr>
        <w:t>土地整合的用地，原则上应在本行政村（或转制社区）范围内，且实施时应符合国土空间总体规划；不符合纳入省“三旧”改造地块数据库条件的，只能用于复建安置和公益设施建设。</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【整合收购】</w:t>
      </w:r>
    </w:p>
    <w:p>
      <w:pPr>
        <w:widowControl/>
        <w:shd w:val="clear" w:color="auto" w:fill="auto"/>
        <w:ind w:firstLine="640"/>
        <w:rPr>
          <w:szCs w:val="32"/>
        </w:rPr>
      </w:pPr>
      <w:r>
        <w:rPr>
          <w:rFonts w:hint="eastAsia"/>
          <w:szCs w:val="32"/>
        </w:rPr>
        <w:t>第四十一条所述收购用地（不含边角地、插花地、夹心地）原则上不超过整合收购前改造范围总用地面积的</w:t>
      </w:r>
      <w:r>
        <w:rPr>
          <w:szCs w:val="32"/>
        </w:rPr>
        <w:t>10%</w:t>
      </w:r>
      <w:r>
        <w:rPr>
          <w:rFonts w:hint="eastAsia"/>
          <w:szCs w:val="32"/>
        </w:rPr>
        <w:t>。整合收购可按旧村庄、旧城镇改造成本核算标准有关规定计算改造成本；也可参照《广州市旧厂房改造实施细则》关于收回国有土地上旧厂房整宗土地的补偿标准计算改造成本；涉及旧城镇的，也可参照我市国有土地上房屋征收与补偿实施办法的补偿标准计算改造成本。</w:t>
      </w:r>
    </w:p>
    <w:p>
      <w:pPr>
        <w:widowControl/>
        <w:shd w:val="clear" w:color="auto" w:fill="auto"/>
        <w:ind w:firstLine="640"/>
        <w:rPr>
          <w:szCs w:val="32"/>
        </w:rPr>
      </w:pPr>
      <w:r>
        <w:rPr>
          <w:rFonts w:hint="eastAsia"/>
          <w:szCs w:val="32"/>
        </w:rPr>
        <w:t>整合收购的用地可由实施主体凭收购协议、项目实施方案及批复等文件，在完成上盖物拆除并注销原有不动产权证后，由实施主体一并实施改造。</w:t>
      </w:r>
    </w:p>
    <w:p>
      <w:pPr>
        <w:widowControl/>
        <w:numPr>
          <w:ilvl w:val="0"/>
          <w:numId w:val="1"/>
        </w:numPr>
        <w:shd w:val="clear" w:color="auto" w:fill="auto"/>
        <w:ind w:firstLine="640"/>
        <w:outlineLvl w:val="1"/>
        <w:rPr>
          <w:rFonts w:ascii="黑体" w:hAnsi="黑体" w:eastAsia="黑体" w:cs="黑体"/>
          <w:szCs w:val="32"/>
        </w:rPr>
      </w:pPr>
      <w:bookmarkStart w:id="89" w:name="_Toc19097"/>
      <w:bookmarkStart w:id="90" w:name="_Toc21188"/>
      <w:r>
        <w:rPr>
          <w:rFonts w:hint="eastAsia" w:ascii="黑体" w:hAnsi="黑体" w:eastAsia="黑体" w:cs="黑体"/>
          <w:szCs w:val="32"/>
        </w:rPr>
        <w:fldChar w:fldCharType="begin"/>
      </w:r>
      <w:r>
        <w:rPr>
          <w:rFonts w:ascii="黑体" w:hAnsi="黑体" w:eastAsia="黑体" w:cs="黑体"/>
          <w:szCs w:val="32"/>
        </w:rPr>
        <w:instrText xml:space="preserve"> HYPERLINK \l "_Toc130919332" </w:instrText>
      </w:r>
      <w:r>
        <w:rPr>
          <w:rFonts w:hint="eastAsia" w:ascii="黑体" w:hAnsi="黑体" w:eastAsia="黑体" w:cs="黑体"/>
          <w:szCs w:val="32"/>
        </w:rPr>
        <w:fldChar w:fldCharType="separate"/>
      </w:r>
      <w:r>
        <w:rPr>
          <w:rFonts w:hint="eastAsia" w:ascii="黑体" w:hAnsi="黑体" w:eastAsia="黑体" w:cs="黑体"/>
          <w:szCs w:val="32"/>
        </w:rPr>
        <w:t>【土地置换】</w:t>
      </w:r>
      <w:r>
        <w:rPr>
          <w:rFonts w:hint="eastAsia" w:ascii="黑体" w:hAnsi="黑体" w:eastAsia="黑体" w:cs="黑体"/>
          <w:szCs w:val="32"/>
        </w:rPr>
        <w:fldChar w:fldCharType="end"/>
      </w:r>
      <w:bookmarkEnd w:id="89"/>
      <w:bookmarkEnd w:id="90"/>
    </w:p>
    <w:p>
      <w:pPr>
        <w:widowControl/>
        <w:shd w:val="clear" w:color="auto" w:fill="auto"/>
        <w:ind w:firstLine="640"/>
        <w:rPr>
          <w:szCs w:val="32"/>
        </w:rPr>
      </w:pPr>
      <w:r>
        <w:rPr>
          <w:rFonts w:hint="eastAsia"/>
          <w:szCs w:val="32"/>
        </w:rPr>
        <w:t>与政府储备用地置换的农村集体经济组织用地，属于国有建设用地的可直接置换，属于集体建设用地的，应当由农村集体经济组织按照规定办理集体建设用地转为国有建设用地手续后置换。集体建设用地之间置换的，双方应当在办理农用地转用手续（包括完善集体建设用地手续）后置换。置换双方应当签订置换协议，约定土地置换和交付的条件，完成原有不动产权证的注销。</w:t>
      </w:r>
    </w:p>
    <w:p>
      <w:pPr>
        <w:widowControl/>
        <w:shd w:val="clear" w:color="auto" w:fill="auto"/>
        <w:ind w:firstLine="640"/>
        <w:rPr>
          <w:szCs w:val="32"/>
        </w:rPr>
      </w:pPr>
      <w:r>
        <w:rPr>
          <w:rFonts w:hint="eastAsia"/>
          <w:szCs w:val="32"/>
        </w:rPr>
        <w:t>用地置换时，按照面积相等或者价值相当的原则。涉及市本级土地储备用地的，拟置换用地和评估结果应经市土地储备机构同意。</w:t>
      </w:r>
    </w:p>
    <w:p>
      <w:pPr>
        <w:widowControl/>
        <w:shd w:val="clear" w:color="auto" w:fill="auto"/>
        <w:ind w:firstLine="640"/>
        <w:rPr>
          <w:szCs w:val="32"/>
        </w:rPr>
      </w:pPr>
      <w:r>
        <w:rPr>
          <w:rFonts w:hint="eastAsia"/>
          <w:szCs w:val="32"/>
        </w:rPr>
        <w:t>置换后的用地作为调入地块一并纳入省“三旧”改造地块数据库，并按照“三旧”改造政策实施改造；原“三旧”用地标注为删除地块，不得再按“三旧”改造政策实施改造。涉及范围调整的，由“三旧”改造地块数据库主管部门按规定办理。</w:t>
      </w:r>
    </w:p>
    <w:p>
      <w:pPr>
        <w:widowControl/>
        <w:numPr>
          <w:ilvl w:val="0"/>
          <w:numId w:val="1"/>
        </w:numPr>
        <w:shd w:val="clear" w:color="auto" w:fill="auto"/>
        <w:ind w:firstLine="640"/>
        <w:outlineLvl w:val="1"/>
        <w:rPr>
          <w:rFonts w:ascii="黑体" w:hAnsi="黑体" w:eastAsia="黑体" w:cs="黑体"/>
          <w:szCs w:val="32"/>
        </w:rPr>
      </w:pPr>
      <w:bookmarkStart w:id="91" w:name="_Toc17288"/>
      <w:bookmarkStart w:id="92" w:name="_Toc30116"/>
      <w:r>
        <w:rPr>
          <w:rFonts w:hint="eastAsia" w:ascii="黑体" w:hAnsi="黑体" w:eastAsia="黑体" w:cs="黑体"/>
          <w:szCs w:val="32"/>
        </w:rPr>
        <w:fldChar w:fldCharType="begin"/>
      </w:r>
      <w:r>
        <w:rPr>
          <w:rStyle w:val="21"/>
          <w:rFonts w:ascii="黑体" w:hAnsi="黑体" w:eastAsia="黑体" w:cs="黑体"/>
          <w:color w:val="auto"/>
          <w:szCs w:val="32"/>
          <w:u w:val="none"/>
        </w:rPr>
        <w:instrText xml:space="preserve"> </w:instrText>
      </w:r>
      <w:r>
        <w:rPr>
          <w:rFonts w:ascii="黑体" w:hAnsi="黑体" w:eastAsia="黑体" w:cs="黑体"/>
          <w:szCs w:val="32"/>
        </w:rPr>
        <w:instrText xml:space="preserve">HYPERLINK \l "_Toc130919335"</w:instrText>
      </w:r>
      <w:r>
        <w:rPr>
          <w:rStyle w:val="21"/>
          <w:rFonts w:ascii="黑体" w:hAnsi="黑体" w:eastAsia="黑体" w:cs="黑体"/>
          <w:color w:val="auto"/>
          <w:szCs w:val="32"/>
          <w:u w:val="none"/>
        </w:rPr>
        <w:instrText xml:space="preserve"> </w:instrText>
      </w:r>
      <w:r>
        <w:rPr>
          <w:rFonts w:hint="eastAsia" w:ascii="黑体" w:hAnsi="黑体" w:eastAsia="黑体" w:cs="黑体"/>
          <w:szCs w:val="32"/>
        </w:rPr>
        <w:fldChar w:fldCharType="separate"/>
      </w:r>
      <w:r>
        <w:rPr>
          <w:rStyle w:val="21"/>
          <w:rFonts w:hint="eastAsia" w:ascii="黑体" w:hAnsi="黑体" w:eastAsia="黑体" w:cs="黑体"/>
          <w:color w:val="auto"/>
          <w:szCs w:val="32"/>
          <w:u w:val="none"/>
        </w:rPr>
        <w:t>【</w:t>
      </w:r>
      <w:r>
        <w:rPr>
          <w:rFonts w:hint="eastAsia" w:ascii="黑体" w:hAnsi="黑体" w:eastAsia="黑体" w:cs="黑体"/>
          <w:szCs w:val="32"/>
        </w:rPr>
        <w:t>复建地块供应和出让金计收</w:t>
      </w:r>
      <w:r>
        <w:rPr>
          <w:rStyle w:val="21"/>
          <w:rFonts w:hint="eastAsia" w:ascii="黑体" w:hAnsi="黑体" w:eastAsia="黑体" w:cs="黑体"/>
          <w:color w:val="auto"/>
          <w:szCs w:val="32"/>
          <w:u w:val="none"/>
        </w:rPr>
        <w:t>】</w:t>
      </w:r>
      <w:r>
        <w:rPr>
          <w:rFonts w:hint="eastAsia" w:ascii="黑体" w:hAnsi="黑体" w:eastAsia="黑体" w:cs="黑体"/>
          <w:szCs w:val="32"/>
        </w:rPr>
        <w:fldChar w:fldCharType="end"/>
      </w:r>
      <w:bookmarkEnd w:id="91"/>
      <w:bookmarkEnd w:id="92"/>
    </w:p>
    <w:p>
      <w:pPr>
        <w:ind w:firstLine="640"/>
      </w:pPr>
      <w:r>
        <w:rPr>
          <w:rFonts w:hint="eastAsia"/>
        </w:rPr>
        <w:t>复建安置地块可按集体土地性质供应给农村集体经济组织，也可转为国有土地后按划拨方式供应给农村集体经济组织。以划拨方式供应的复建安置地块，农村集体经济组织或个人自行申请办理土地有偿使用手续或发生转让等须办理土地有偿使用手续的，按申请办理土地有偿使用手续时相应用途市场评估地价</w:t>
      </w:r>
      <w:r>
        <w:t>20%</w:t>
      </w:r>
      <w:r>
        <w:rPr>
          <w:rFonts w:hint="eastAsia"/>
        </w:rPr>
        <w:t>或房屋市场评估价的</w:t>
      </w:r>
      <w:r>
        <w:t>5%</w:t>
      </w:r>
      <w:r>
        <w:rPr>
          <w:rFonts w:hint="eastAsia"/>
        </w:rPr>
        <w:t>计收土地出让金。</w:t>
      </w:r>
    </w:p>
    <w:p>
      <w:pPr>
        <w:widowControl/>
        <w:numPr>
          <w:ilvl w:val="0"/>
          <w:numId w:val="1"/>
        </w:numPr>
        <w:shd w:val="clear" w:color="auto" w:fill="auto"/>
        <w:ind w:firstLine="640"/>
        <w:outlineLvl w:val="1"/>
        <w:rPr>
          <w:rFonts w:ascii="黑体" w:hAnsi="黑体" w:eastAsia="黑体" w:cs="黑体"/>
          <w:szCs w:val="32"/>
        </w:rPr>
      </w:pPr>
      <w:bookmarkStart w:id="93" w:name="_Toc3845"/>
      <w:bookmarkStart w:id="94" w:name="_Toc15323"/>
      <w:r>
        <w:rPr>
          <w:rFonts w:hint="eastAsia" w:ascii="黑体" w:hAnsi="黑体" w:eastAsia="黑体" w:cs="黑体"/>
          <w:szCs w:val="32"/>
        </w:rPr>
        <w:fldChar w:fldCharType="begin"/>
      </w:r>
      <w:r>
        <w:rPr>
          <w:rFonts w:ascii="黑体" w:hAnsi="黑体" w:eastAsia="黑体" w:cs="黑体"/>
          <w:szCs w:val="32"/>
        </w:rPr>
        <w:instrText xml:space="preserve"> HYPERLINK \l "_Toc130919335" </w:instrText>
      </w:r>
      <w:r>
        <w:rPr>
          <w:rFonts w:hint="eastAsia" w:ascii="黑体" w:hAnsi="黑体" w:eastAsia="黑体" w:cs="黑体"/>
          <w:szCs w:val="32"/>
        </w:rPr>
        <w:fldChar w:fldCharType="separate"/>
      </w:r>
      <w:r>
        <w:rPr>
          <w:rFonts w:hint="eastAsia" w:ascii="黑体" w:hAnsi="黑体" w:eastAsia="黑体" w:cs="黑体"/>
          <w:szCs w:val="32"/>
        </w:rPr>
        <w:t>【融资地块供应和出让金计收】</w:t>
      </w:r>
      <w:r>
        <w:rPr>
          <w:rFonts w:hint="eastAsia" w:ascii="黑体" w:hAnsi="黑体" w:eastAsia="黑体" w:cs="黑体"/>
          <w:szCs w:val="32"/>
        </w:rPr>
        <w:fldChar w:fldCharType="end"/>
      </w:r>
      <w:bookmarkEnd w:id="93"/>
      <w:bookmarkEnd w:id="94"/>
    </w:p>
    <w:p>
      <w:pPr>
        <w:ind w:firstLine="640"/>
      </w:pPr>
      <w:r>
        <w:rPr>
          <w:rFonts w:hint="eastAsia"/>
        </w:rPr>
        <w:t>旧村庄由政府主导改造的，融资地块应当按规定公开出让，土地出让金以实际成交价格为准。</w:t>
      </w:r>
    </w:p>
    <w:p>
      <w:pPr>
        <w:ind w:firstLine="640"/>
        <w:rPr>
          <w:szCs w:val="32"/>
        </w:rPr>
      </w:pPr>
      <w:r>
        <w:rPr>
          <w:rFonts w:hint="eastAsia"/>
        </w:rPr>
        <w:t>旧村庄采取合作改造和自主改造的，融资地块可以通过协议方式出让，</w:t>
      </w:r>
      <w:r>
        <w:rPr>
          <w:rFonts w:hint="eastAsia"/>
          <w:szCs w:val="32"/>
        </w:rPr>
        <w:t>供应给农村集体经济组织、农村集体经济组织成立的全资子公司、农村集体经济组织与按规定公开选择的市场主体成立的合作项目公司、按规定公开选择的合作企业成立的项目公司，并</w:t>
      </w:r>
      <w:r>
        <w:rPr>
          <w:rFonts w:hint="eastAsia"/>
        </w:rPr>
        <w:t>按申请办理土地出让手续时点市场评估地价20%计收土地出让金</w:t>
      </w:r>
      <w:r>
        <w:rPr>
          <w:rFonts w:hint="eastAsia"/>
          <w:szCs w:val="32"/>
        </w:rPr>
        <w:t>。</w:t>
      </w:r>
    </w:p>
    <w:p>
      <w:pPr>
        <w:shd w:val="clear" w:color="auto" w:fill="auto"/>
        <w:spacing w:line="264" w:lineRule="auto"/>
        <w:ind w:firstLine="640"/>
        <w:jc w:val="center"/>
        <w:rPr>
          <w:rStyle w:val="21"/>
          <w:color w:val="auto"/>
          <w:u w:val="none"/>
        </w:rPr>
      </w:pPr>
    </w:p>
    <w:bookmarkEnd w:id="82"/>
    <w:bookmarkEnd w:id="83"/>
    <w:bookmarkEnd w:id="84"/>
    <w:p>
      <w:pPr>
        <w:shd w:val="clear" w:color="auto" w:fill="auto"/>
        <w:spacing w:line="264" w:lineRule="auto"/>
        <w:ind w:firstLine="640"/>
        <w:jc w:val="center"/>
        <w:outlineLvl w:val="0"/>
        <w:rPr>
          <w:rFonts w:ascii="黑体" w:hAnsi="黑体" w:eastAsia="黑体"/>
          <w:szCs w:val="32"/>
        </w:rPr>
      </w:pPr>
      <w:r>
        <w:rPr>
          <w:rFonts w:hint="eastAsia" w:ascii="黑体" w:hAnsi="黑体" w:eastAsia="黑体"/>
          <w:szCs w:val="32"/>
        </w:rPr>
        <w:t>第六章</w:t>
      </w:r>
      <w:r>
        <w:rPr>
          <w:rFonts w:ascii="黑体" w:hAnsi="黑体" w:eastAsia="黑体"/>
          <w:szCs w:val="32"/>
        </w:rPr>
        <w:t xml:space="preserve"> </w:t>
      </w:r>
      <w:r>
        <w:rPr>
          <w:rFonts w:hint="eastAsia" w:ascii="黑体" w:hAnsi="黑体" w:eastAsia="黑体"/>
          <w:szCs w:val="32"/>
        </w:rPr>
        <w:t>微改造</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【微改造】</w:t>
      </w:r>
    </w:p>
    <w:p>
      <w:pPr>
        <w:widowControl/>
        <w:shd w:val="clear" w:color="auto" w:fill="auto"/>
        <w:ind w:firstLine="640"/>
        <w:rPr>
          <w:szCs w:val="32"/>
        </w:rPr>
      </w:pPr>
      <w:bookmarkStart w:id="95" w:name="_Hlk157072416"/>
      <w:r>
        <w:rPr>
          <w:rFonts w:hint="eastAsia"/>
          <w:szCs w:val="32"/>
        </w:rPr>
        <w:t>旧村庄微改造项目</w:t>
      </w:r>
      <w:bookmarkEnd w:id="95"/>
      <w:r>
        <w:rPr>
          <w:rFonts w:hint="eastAsia"/>
          <w:szCs w:val="32"/>
        </w:rPr>
        <w:t>，本章有特别规定的，适用本章规定，本章无特别规定的，适用本细则第一至五章规定。旧村庄微改造项目涉及办理融资地块出让的方案编制及审批和项目实施，按照本细则第二至五章规定。</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【微改造目标和市、区审批支持】</w:t>
      </w:r>
    </w:p>
    <w:p>
      <w:pPr>
        <w:widowControl/>
        <w:shd w:val="clear" w:color="auto" w:fill="auto"/>
        <w:ind w:firstLine="640"/>
        <w:rPr>
          <w:szCs w:val="32"/>
        </w:rPr>
      </w:pPr>
      <w:r>
        <w:rPr>
          <w:rFonts w:hint="eastAsia"/>
          <w:szCs w:val="32"/>
        </w:rPr>
        <w:t>鼓励旧村庄增加市政基础设施和公共绿地，实施管线下地，并利用村民住宅、集体低效物业用地、留用地建设农民公寓、公共租赁房、保障性租赁住房等项目，对旧村庄进行抽疏整治。</w:t>
      </w:r>
    </w:p>
    <w:p>
      <w:pPr>
        <w:widowControl/>
        <w:shd w:val="clear" w:color="auto" w:fill="auto"/>
        <w:ind w:firstLine="640"/>
        <w:rPr>
          <w:szCs w:val="32"/>
        </w:rPr>
      </w:pPr>
      <w:r>
        <w:rPr>
          <w:rFonts w:hint="eastAsia"/>
          <w:szCs w:val="32"/>
        </w:rPr>
        <w:t>市相关职能部门负责审批农民公寓的建设规划并予以划拨供地，区人民政府负责审批扶持引导资金的使用。</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【微改造方案编制程序】</w:t>
      </w:r>
    </w:p>
    <w:p>
      <w:pPr>
        <w:widowControl/>
        <w:shd w:val="clear" w:color="auto" w:fill="auto"/>
        <w:ind w:firstLine="640"/>
        <w:rPr>
          <w:szCs w:val="32"/>
        </w:rPr>
      </w:pPr>
      <w:r>
        <w:rPr>
          <w:rFonts w:hint="eastAsia"/>
        </w:rPr>
        <w:t>区人民政府按需组织基础数据调查，征询村民意见，对旧村庄改造范围进行划定和认定，并组织编制微改造方案</w:t>
      </w:r>
      <w:r>
        <w:rPr>
          <w:rFonts w:hint="eastAsia"/>
          <w:szCs w:val="32"/>
        </w:rPr>
        <w:t>。确有资金平衡需要的，可以把集体低效物业用地和留用地纳入改造范围进行改造。</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【微改造费用承担和建设规模】</w:t>
      </w:r>
    </w:p>
    <w:p>
      <w:pPr>
        <w:widowControl/>
        <w:shd w:val="clear" w:color="auto" w:fill="auto"/>
        <w:ind w:firstLine="640"/>
        <w:rPr>
          <w:szCs w:val="32"/>
        </w:rPr>
      </w:pPr>
      <w:r>
        <w:rPr>
          <w:rFonts w:hint="eastAsia"/>
          <w:szCs w:val="32"/>
        </w:rPr>
        <w:t>旧村庄微改造的费用以农村集体经济组织和村民自筹为主。鼓励通过宅基地换房解决宅基地欠账和局部</w:t>
      </w:r>
      <w:r>
        <w:rPr>
          <w:rFonts w:hint="eastAsia" w:ascii="等线" w:hAnsi="等线"/>
          <w:szCs w:val="32"/>
        </w:rPr>
        <w:t>搬</w:t>
      </w:r>
      <w:r>
        <w:rPr>
          <w:rFonts w:hint="eastAsia"/>
          <w:szCs w:val="32"/>
        </w:rPr>
        <w:t>迁的复建需求，参考全面改造核定安置规模，并允许建设保障性租赁住房。对于这两类住宅的建设成本不给予融资建筑面积，对将城市基础设施纳入旧村庄微改造一并实施的，可统筹考虑相关融资及代建工作。</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【微改造项目表决】</w:t>
      </w:r>
    </w:p>
    <w:p>
      <w:pPr>
        <w:widowControl/>
        <w:shd w:val="clear" w:color="auto" w:fill="auto"/>
        <w:ind w:firstLine="640"/>
        <w:rPr>
          <w:szCs w:val="32"/>
        </w:rPr>
      </w:pPr>
      <w:r>
        <w:rPr>
          <w:rFonts w:hint="eastAsia"/>
          <w:szCs w:val="32"/>
        </w:rPr>
        <w:t>微改造项目实施方案按照广东省农村集体经济组织管理有关规定表决通过后，方可上报区人民政府审查。</w:t>
      </w:r>
    </w:p>
    <w:p>
      <w:pPr>
        <w:widowControl/>
        <w:shd w:val="clear" w:color="auto" w:fill="auto"/>
        <w:ind w:firstLine="640"/>
        <w:rPr>
          <w:szCs w:val="32"/>
        </w:rPr>
      </w:pPr>
      <w:r>
        <w:rPr>
          <w:rFonts w:hint="eastAsia"/>
          <w:szCs w:val="32"/>
        </w:rPr>
        <w:t>政府主导实施的以整治修缮为主的旧村庄更新改造项目无需进行表决。</w:t>
      </w:r>
    </w:p>
    <w:p>
      <w:pPr>
        <w:widowControl/>
        <w:shd w:val="clear" w:color="auto" w:fill="auto"/>
        <w:ind w:firstLine="640"/>
      </w:pPr>
      <w:r>
        <w:rPr>
          <w:rFonts w:hint="eastAsia"/>
          <w:szCs w:val="32"/>
        </w:rPr>
        <w:t>旧村庄微改造项目实施方案涉及房屋</w:t>
      </w:r>
      <w:r>
        <w:rPr>
          <w:rFonts w:hint="eastAsia" w:ascii="等线" w:hAnsi="等线"/>
          <w:szCs w:val="32"/>
        </w:rPr>
        <w:t>搬</w:t>
      </w:r>
      <w:r>
        <w:rPr>
          <w:rFonts w:hint="eastAsia"/>
          <w:szCs w:val="32"/>
        </w:rPr>
        <w:t>迁补偿安置等重大事项的，由区人民政府牵头组织村民委员会或农村集体经济组织按规定表决通过后启动实施。自批复之日起</w:t>
      </w:r>
      <w:r>
        <w:rPr>
          <w:szCs w:val="32"/>
        </w:rPr>
        <w:t>2</w:t>
      </w:r>
      <w:r>
        <w:rPr>
          <w:rFonts w:hint="eastAsia"/>
          <w:szCs w:val="32"/>
        </w:rPr>
        <w:t>年内，涉及的重大事项未能取得</w:t>
      </w:r>
      <w:r>
        <w:rPr>
          <w:szCs w:val="32"/>
        </w:rPr>
        <w:t>80</w:t>
      </w:r>
      <w:r>
        <w:rPr>
          <w:rFonts w:hint="eastAsia"/>
          <w:szCs w:val="32"/>
        </w:rPr>
        <w:t>％以上农村集体经济组织成员同意的，项目实施方案应当重新报批。因政策调整、规划调整、重大公共事件等不可抗力原因造成前款所述情况的，</w:t>
      </w:r>
      <w:r>
        <w:rPr>
          <w:rFonts w:hint="eastAsia"/>
        </w:rPr>
        <w:t>改造主体可以在规定时限届满前6个月，向原审批机构申请延期。</w:t>
      </w:r>
      <w:r>
        <w:rPr>
          <w:rFonts w:hint="eastAsia"/>
          <w:szCs w:val="32"/>
        </w:rPr>
        <w:t>经原审批机构审议同意，</w:t>
      </w:r>
      <w:r>
        <w:rPr>
          <w:rFonts w:hint="eastAsia"/>
        </w:rPr>
        <w:t>可延期</w:t>
      </w:r>
      <w:r>
        <w:t>2</w:t>
      </w:r>
      <w:r>
        <w:rPr>
          <w:rFonts w:hint="eastAsia"/>
        </w:rPr>
        <w:t>次，每次延长期限不超过</w:t>
      </w:r>
      <w:r>
        <w:t>1</w:t>
      </w:r>
      <w:r>
        <w:rPr>
          <w:rFonts w:hint="eastAsia"/>
        </w:rPr>
        <w:t>年。</w:t>
      </w:r>
    </w:p>
    <w:p>
      <w:pPr>
        <w:widowControl/>
        <w:numPr>
          <w:ilvl w:val="0"/>
          <w:numId w:val="1"/>
        </w:numPr>
        <w:shd w:val="clear" w:color="auto" w:fill="auto"/>
        <w:ind w:firstLine="640"/>
        <w:outlineLvl w:val="1"/>
        <w:rPr>
          <w:rFonts w:ascii="黑体" w:hAnsi="黑体" w:eastAsia="黑体" w:cs="黑体"/>
          <w:szCs w:val="32"/>
        </w:rPr>
      </w:pPr>
      <w:r>
        <w:rPr>
          <w:rFonts w:hint="eastAsia" w:ascii="黑体" w:hAnsi="黑体" w:eastAsia="黑体" w:cs="黑体"/>
          <w:szCs w:val="32"/>
        </w:rPr>
        <w:t>【微改造利用专项资金】</w:t>
      </w:r>
    </w:p>
    <w:p>
      <w:pPr>
        <w:widowControl/>
        <w:shd w:val="clear" w:color="auto" w:fill="auto"/>
        <w:ind w:firstLine="640"/>
        <w:rPr>
          <w:szCs w:val="32"/>
        </w:rPr>
      </w:pPr>
      <w:r>
        <w:rPr>
          <w:rFonts w:hint="eastAsia"/>
          <w:szCs w:val="32"/>
        </w:rPr>
        <w:t>政府可运用国家旧村庄改造专项资金、拨款扶持农村集体经济组织，对旧村庄进行抽疏整治，利用低效土地兴建村民公寓或集体物业。</w:t>
      </w:r>
    </w:p>
    <w:p>
      <w:pPr>
        <w:shd w:val="clear" w:color="auto" w:fill="auto"/>
        <w:ind w:firstLine="640"/>
        <w:rPr>
          <w:rFonts w:ascii="楷体" w:hAnsi="楷体" w:eastAsia="楷体"/>
          <w:szCs w:val="21"/>
        </w:rPr>
      </w:pPr>
    </w:p>
    <w:p>
      <w:pPr>
        <w:shd w:val="clear" w:color="auto" w:fill="auto"/>
        <w:spacing w:line="264" w:lineRule="auto"/>
        <w:ind w:firstLine="640"/>
        <w:jc w:val="center"/>
        <w:outlineLvl w:val="0"/>
        <w:rPr>
          <w:rFonts w:ascii="黑体" w:hAnsi="黑体" w:eastAsia="黑体"/>
          <w:szCs w:val="32"/>
        </w:rPr>
      </w:pPr>
      <w:bookmarkStart w:id="96" w:name="_Toc130911652"/>
      <w:bookmarkStart w:id="97" w:name="_Toc739"/>
      <w:bookmarkStart w:id="98" w:name="_Toc26092"/>
      <w:bookmarkStart w:id="99" w:name="_Toc3414"/>
      <w:bookmarkStart w:id="100" w:name="_Toc16708"/>
      <w:r>
        <w:rPr>
          <w:rFonts w:hint="eastAsia" w:ascii="黑体" w:hAnsi="黑体" w:eastAsia="黑体"/>
          <w:szCs w:val="32"/>
        </w:rPr>
        <w:t>第七章</w:t>
      </w:r>
      <w:r>
        <w:rPr>
          <w:rFonts w:ascii="黑体" w:hAnsi="黑体" w:eastAsia="黑体"/>
          <w:szCs w:val="32"/>
        </w:rPr>
        <w:t xml:space="preserve"> </w:t>
      </w:r>
      <w:r>
        <w:rPr>
          <w:rFonts w:hint="eastAsia" w:ascii="黑体" w:hAnsi="黑体" w:eastAsia="黑体"/>
          <w:szCs w:val="32"/>
        </w:rPr>
        <w:t>附则</w:t>
      </w:r>
      <w:bookmarkEnd w:id="96"/>
      <w:bookmarkEnd w:id="97"/>
      <w:bookmarkEnd w:id="98"/>
      <w:bookmarkEnd w:id="99"/>
      <w:bookmarkEnd w:id="100"/>
    </w:p>
    <w:p>
      <w:pPr>
        <w:widowControl/>
        <w:numPr>
          <w:ilvl w:val="0"/>
          <w:numId w:val="1"/>
        </w:numPr>
        <w:shd w:val="clear" w:color="auto" w:fill="auto"/>
        <w:ind w:firstLine="640"/>
        <w:outlineLvl w:val="1"/>
        <w:rPr>
          <w:rFonts w:ascii="黑体" w:hAnsi="黑体" w:eastAsia="黑体" w:cs="黑体"/>
          <w:szCs w:val="32"/>
        </w:rPr>
      </w:pPr>
      <w:bookmarkStart w:id="101" w:name="_Toc28896"/>
      <w:bookmarkStart w:id="102" w:name="_Toc3319"/>
      <w:bookmarkStart w:id="103" w:name="_Toc26743"/>
      <w:bookmarkStart w:id="104" w:name="_Toc130911653"/>
      <w:bookmarkStart w:id="105" w:name="_Toc1209"/>
      <w:r>
        <w:rPr>
          <w:rFonts w:hint="eastAsia" w:ascii="黑体" w:hAnsi="黑体" w:eastAsia="黑体" w:cs="黑体"/>
          <w:szCs w:val="32"/>
        </w:rPr>
        <w:t>【事权下放】</w:t>
      </w:r>
      <w:bookmarkEnd w:id="101"/>
      <w:bookmarkEnd w:id="102"/>
      <w:bookmarkEnd w:id="103"/>
    </w:p>
    <w:p>
      <w:pPr>
        <w:widowControl/>
        <w:shd w:val="clear" w:color="auto" w:fill="auto"/>
        <w:tabs>
          <w:tab w:val="left" w:pos="0"/>
        </w:tabs>
        <w:ind w:firstLine="640" w:firstLineChars="0"/>
        <w:rPr>
          <w:szCs w:val="32"/>
        </w:rPr>
      </w:pPr>
      <w:r>
        <w:rPr>
          <w:rFonts w:hint="eastAsia"/>
          <w:szCs w:val="32"/>
        </w:rPr>
        <w:t>符合详细规划的片区策划方案、旧村庄改造项目实施方案的审定事权委托给各区人民政府实施。黄埔区、南沙区、增城区、广州空港经济区按已经市人民政府下放或委托权限的有关规定办理。</w:t>
      </w:r>
    </w:p>
    <w:p>
      <w:pPr>
        <w:widowControl/>
        <w:shd w:val="clear" w:color="auto" w:fill="auto"/>
        <w:tabs>
          <w:tab w:val="left" w:pos="0"/>
        </w:tabs>
        <w:ind w:firstLine="640" w:firstLineChars="0"/>
        <w:rPr>
          <w:szCs w:val="32"/>
        </w:rPr>
      </w:pPr>
      <w:r>
        <w:rPr>
          <w:rFonts w:hint="eastAsia"/>
          <w:szCs w:val="32"/>
        </w:rPr>
        <w:t>市城市更新领导机构应当建立工作机制，对区人民政府承接工作情况进行督导检查。区人民政府制定事权下放承接工作方案，明确操作标准和工作程序，规范旧村庄改造方案审批工作。</w:t>
      </w:r>
    </w:p>
    <w:bookmarkEnd w:id="104"/>
    <w:bookmarkEnd w:id="105"/>
    <w:p>
      <w:pPr>
        <w:widowControl/>
        <w:numPr>
          <w:ilvl w:val="0"/>
          <w:numId w:val="1"/>
        </w:numPr>
        <w:shd w:val="clear" w:color="auto" w:fill="auto"/>
        <w:ind w:firstLine="640"/>
        <w:outlineLvl w:val="1"/>
        <w:rPr>
          <w:rFonts w:ascii="黑体" w:hAnsi="黑体" w:eastAsia="黑体" w:cs="黑体"/>
          <w:szCs w:val="32"/>
        </w:rPr>
      </w:pPr>
      <w:bookmarkStart w:id="106" w:name="_Toc23653"/>
      <w:bookmarkStart w:id="107" w:name="_Toc13799"/>
      <w:bookmarkStart w:id="108" w:name="_Toc19291"/>
      <w:bookmarkStart w:id="109" w:name="_Toc130911654"/>
      <w:bookmarkStart w:id="110" w:name="_Toc26660"/>
      <w:r>
        <w:rPr>
          <w:rFonts w:hint="eastAsia" w:ascii="黑体" w:hAnsi="黑体" w:eastAsia="黑体" w:cs="黑体"/>
          <w:szCs w:val="32"/>
        </w:rPr>
        <w:t>【表决主体名称变更】</w:t>
      </w:r>
      <w:bookmarkEnd w:id="106"/>
      <w:bookmarkEnd w:id="107"/>
      <w:bookmarkEnd w:id="108"/>
      <w:bookmarkEnd w:id="109"/>
      <w:bookmarkEnd w:id="110"/>
    </w:p>
    <w:p>
      <w:pPr>
        <w:ind w:firstLine="640"/>
      </w:pPr>
      <w:r>
        <w:rPr>
          <w:rFonts w:hint="eastAsia"/>
        </w:rPr>
        <w:t>如原农村集体经济组织完成农村股份合作制改革，农村集体经济组织章程明确权力决策机构是股东大会和股东代表会议，则本文中的“成员大会”对应调整为“股东大会”，“成员代表会议”对应调整为“股东代表会议”。</w:t>
      </w:r>
    </w:p>
    <w:p>
      <w:pPr>
        <w:widowControl/>
        <w:numPr>
          <w:ilvl w:val="0"/>
          <w:numId w:val="1"/>
        </w:numPr>
        <w:shd w:val="clear" w:color="auto" w:fill="auto"/>
        <w:ind w:firstLine="640"/>
        <w:outlineLvl w:val="1"/>
        <w:rPr>
          <w:rFonts w:ascii="黑体" w:hAnsi="黑体" w:eastAsia="黑体" w:cs="黑体"/>
          <w:szCs w:val="32"/>
        </w:rPr>
      </w:pPr>
      <w:bookmarkStart w:id="111" w:name="_Toc16849"/>
      <w:bookmarkStart w:id="112" w:name="_Toc21864"/>
      <w:bookmarkStart w:id="113" w:name="_Toc8889"/>
      <w:bookmarkStart w:id="114" w:name="_Toc130911655"/>
      <w:bookmarkStart w:id="115" w:name="_Toc12832"/>
      <w:r>
        <w:rPr>
          <w:rFonts w:hint="eastAsia" w:ascii="黑体" w:hAnsi="黑体" w:eastAsia="黑体" w:cs="黑体"/>
          <w:szCs w:val="32"/>
        </w:rPr>
        <w:t>【实施时间】</w:t>
      </w:r>
      <w:bookmarkEnd w:id="111"/>
      <w:bookmarkEnd w:id="112"/>
      <w:bookmarkEnd w:id="113"/>
      <w:bookmarkEnd w:id="114"/>
      <w:bookmarkEnd w:id="115"/>
    </w:p>
    <w:p>
      <w:pPr>
        <w:widowControl/>
        <w:shd w:val="clear" w:color="auto" w:fill="auto"/>
        <w:ind w:firstLine="640"/>
        <w:rPr>
          <w:szCs w:val="32"/>
        </w:rPr>
      </w:pPr>
      <w:r>
        <w:rPr>
          <w:rFonts w:hint="eastAsia"/>
          <w:szCs w:val="32"/>
        </w:rPr>
        <w:t>本细则自</w:t>
      </w:r>
      <w:r>
        <w:rPr>
          <w:szCs w:val="32"/>
        </w:rPr>
        <w:t>2024</w:t>
      </w:r>
      <w:r>
        <w:rPr>
          <w:rFonts w:hint="eastAsia"/>
          <w:szCs w:val="32"/>
        </w:rPr>
        <w:t>年</w:t>
      </w:r>
      <w:r>
        <w:rPr>
          <w:szCs w:val="32"/>
        </w:rPr>
        <w:t>X</w:t>
      </w:r>
      <w:r>
        <w:rPr>
          <w:rFonts w:hint="eastAsia"/>
          <w:szCs w:val="32"/>
        </w:rPr>
        <w:t>月</w:t>
      </w:r>
      <w:r>
        <w:rPr>
          <w:szCs w:val="32"/>
        </w:rPr>
        <w:t>X</w:t>
      </w:r>
      <w:r>
        <w:rPr>
          <w:rFonts w:hint="eastAsia"/>
          <w:szCs w:val="32"/>
        </w:rPr>
        <w:t>日起施行，有效期</w:t>
      </w:r>
      <w:r>
        <w:rPr>
          <w:szCs w:val="32"/>
        </w:rPr>
        <w:t>5</w:t>
      </w:r>
      <w:r>
        <w:rPr>
          <w:rFonts w:hint="eastAsia"/>
          <w:szCs w:val="32"/>
        </w:rPr>
        <w:t>年。</w:t>
      </w:r>
    </w:p>
    <w:p>
      <w:pPr>
        <w:widowControl/>
        <w:shd w:val="clear" w:color="auto" w:fill="auto"/>
        <w:ind w:firstLine="640"/>
        <w:rPr>
          <w:szCs w:val="32"/>
        </w:rPr>
      </w:pPr>
      <w:r>
        <w:rPr>
          <w:rFonts w:hint="eastAsia"/>
          <w:szCs w:val="32"/>
        </w:rPr>
        <w:t>本细则施行前已批复实施方案的旧村庄项目，可适用《广州市旧村庄更新实施办法》，也可适用本细则。</w:t>
      </w:r>
    </w:p>
    <w:p>
      <w:pPr>
        <w:pStyle w:val="30"/>
        <w:ind w:firstLine="480"/>
        <w:sectPr>
          <w:headerReference r:id="rId7" w:type="first"/>
          <w:footerReference r:id="rId10" w:type="first"/>
          <w:headerReference r:id="rId5" w:type="default"/>
          <w:footerReference r:id="rId8" w:type="default"/>
          <w:headerReference r:id="rId6" w:type="even"/>
          <w:footerReference r:id="rId9" w:type="even"/>
          <w:pgSz w:w="11907" w:h="16839"/>
          <w:pgMar w:top="1440" w:right="1800" w:bottom="1440" w:left="1800" w:header="851" w:footer="992" w:gutter="0"/>
          <w:pgNumType w:start="1"/>
          <w:cols w:space="720" w:num="1"/>
          <w:docGrid w:type="linesAndChars" w:linePitch="435" w:charSpace="0"/>
        </w:sectPr>
      </w:pPr>
    </w:p>
    <w:p>
      <w:pPr>
        <w:pStyle w:val="15"/>
      </w:pPr>
    </w:p>
    <w:p>
      <w:pPr>
        <w:pStyle w:val="15"/>
      </w:pPr>
      <w:r>
        <w:rPr>
          <w:rFonts w:hint="eastAsia"/>
        </w:rPr>
        <w:t>广州市旧厂房改造实施细则</w:t>
      </w:r>
    </w:p>
    <w:p>
      <w:pPr>
        <w:ind w:firstLine="0" w:firstLineChars="0"/>
        <w:jc w:val="center"/>
        <w:rPr>
          <w:rFonts w:eastAsia="楷体_GB2312"/>
          <w:szCs w:val="32"/>
        </w:rPr>
      </w:pPr>
      <w:r>
        <w:rPr>
          <w:rFonts w:hint="eastAsia" w:eastAsia="楷体_GB2312"/>
          <w:szCs w:val="32"/>
        </w:rPr>
        <w:t>（征求意见稿）</w:t>
      </w:r>
    </w:p>
    <w:p>
      <w:pPr>
        <w:spacing w:line="580" w:lineRule="exact"/>
        <w:ind w:firstLine="640"/>
        <w:jc w:val="center"/>
        <w:rPr>
          <w:rFonts w:eastAsia="楷体_GB2312"/>
          <w:szCs w:val="32"/>
        </w:rPr>
      </w:pPr>
    </w:p>
    <w:p>
      <w:pPr>
        <w:numPr>
          <w:ilvl w:val="0"/>
          <w:numId w:val="2"/>
        </w:numPr>
        <w:shd w:val="clear" w:color="auto" w:fill="auto"/>
        <w:ind w:firstLine="640"/>
        <w:outlineLvl w:val="1"/>
        <w:rPr>
          <w:rFonts w:ascii="黑体" w:hAnsi="黑体" w:eastAsia="黑体" w:cs="黑体"/>
          <w:szCs w:val="32"/>
        </w:rPr>
      </w:pPr>
      <w:bookmarkStart w:id="116" w:name="_Toc132276054"/>
      <w:bookmarkStart w:id="117" w:name="_Toc129176425"/>
      <w:bookmarkStart w:id="118" w:name="_Toc58875201"/>
      <w:r>
        <w:rPr>
          <w:rFonts w:hint="eastAsia" w:ascii="黑体" w:hAnsi="黑体" w:eastAsia="黑体" w:cs="黑体"/>
          <w:szCs w:val="32"/>
        </w:rPr>
        <w:t>【制定目的】</w:t>
      </w:r>
      <w:bookmarkEnd w:id="116"/>
      <w:bookmarkEnd w:id="117"/>
      <w:bookmarkEnd w:id="118"/>
    </w:p>
    <w:p>
      <w:pPr>
        <w:widowControl/>
        <w:ind w:firstLine="640"/>
        <w:rPr>
          <w:szCs w:val="32"/>
        </w:rPr>
      </w:pPr>
      <w:r>
        <w:rPr>
          <w:rFonts w:hint="eastAsia"/>
          <w:szCs w:val="32"/>
        </w:rPr>
        <w:t>为进一步推进和规范本市旧厂房改造工作，完善城市功能，优化产业结构，传承历史</w:t>
      </w:r>
      <w:r>
        <w:rPr>
          <w:szCs w:val="32"/>
        </w:rPr>
        <w:t>文化</w:t>
      </w:r>
      <w:r>
        <w:rPr>
          <w:rFonts w:hint="eastAsia"/>
          <w:szCs w:val="32"/>
        </w:rPr>
        <w:t>，</w:t>
      </w:r>
      <w:r>
        <w:rPr>
          <w:szCs w:val="32"/>
        </w:rPr>
        <w:t>促进经济高质量发展</w:t>
      </w:r>
      <w:r>
        <w:rPr>
          <w:rFonts w:hint="eastAsia"/>
          <w:szCs w:val="32"/>
        </w:rPr>
        <w:t>，根据有关法律法规和</w:t>
      </w:r>
      <w:r>
        <w:rPr>
          <w:rFonts w:hint="eastAsia"/>
        </w:rPr>
        <w:t>《广东省旧城镇旧厂房旧村庄改造管理办法》</w:t>
      </w:r>
      <w:r>
        <w:rPr>
          <w:rFonts w:hint="eastAsia"/>
          <w:szCs w:val="32"/>
        </w:rPr>
        <w:t>《广州市旧村庄旧厂房旧城镇改造实施办法》的规定，结合本市实际，制定本细则。</w:t>
      </w:r>
    </w:p>
    <w:p>
      <w:pPr>
        <w:numPr>
          <w:ilvl w:val="0"/>
          <w:numId w:val="2"/>
        </w:numPr>
        <w:shd w:val="clear" w:color="auto" w:fill="auto"/>
        <w:ind w:firstLine="640"/>
        <w:outlineLvl w:val="1"/>
        <w:rPr>
          <w:rFonts w:ascii="黑体" w:hAnsi="黑体" w:eastAsia="黑体" w:cs="黑体"/>
          <w:szCs w:val="32"/>
        </w:rPr>
      </w:pPr>
      <w:bookmarkStart w:id="119" w:name="_Toc132276055"/>
      <w:r>
        <w:rPr>
          <w:rFonts w:hint="eastAsia" w:ascii="黑体" w:hAnsi="黑体" w:eastAsia="黑体" w:cs="黑体"/>
          <w:szCs w:val="32"/>
        </w:rPr>
        <w:t>【适用</w:t>
      </w:r>
      <w:r>
        <w:rPr>
          <w:rFonts w:ascii="黑体" w:hAnsi="黑体" w:eastAsia="黑体" w:cs="黑体"/>
          <w:szCs w:val="32"/>
        </w:rPr>
        <w:t>范围</w:t>
      </w:r>
      <w:r>
        <w:rPr>
          <w:rFonts w:hint="eastAsia" w:ascii="黑体" w:hAnsi="黑体" w:eastAsia="黑体" w:cs="黑体"/>
          <w:szCs w:val="32"/>
        </w:rPr>
        <w:t>】</w:t>
      </w:r>
      <w:bookmarkEnd w:id="119"/>
    </w:p>
    <w:p>
      <w:pPr>
        <w:widowControl/>
        <w:ind w:firstLine="640"/>
        <w:rPr>
          <w:szCs w:val="32"/>
        </w:rPr>
      </w:pPr>
      <w:r>
        <w:rPr>
          <w:rFonts w:hint="eastAsia"/>
          <w:szCs w:val="32"/>
        </w:rPr>
        <w:t>本市行政区域内，</w:t>
      </w:r>
      <w:r>
        <w:rPr>
          <w:szCs w:val="32"/>
        </w:rPr>
        <w:t>2009</w:t>
      </w:r>
      <w:r>
        <w:rPr>
          <w:rFonts w:hint="eastAsia"/>
          <w:szCs w:val="32"/>
        </w:rPr>
        <w:t>年</w:t>
      </w:r>
      <w:r>
        <w:rPr>
          <w:szCs w:val="32"/>
        </w:rPr>
        <w:t>12</w:t>
      </w:r>
      <w:r>
        <w:rPr>
          <w:rFonts w:hint="eastAsia"/>
          <w:szCs w:val="32"/>
        </w:rPr>
        <w:t>月</w:t>
      </w:r>
      <w:r>
        <w:rPr>
          <w:szCs w:val="32"/>
        </w:rPr>
        <w:t>31</w:t>
      </w:r>
      <w:r>
        <w:rPr>
          <w:rFonts w:hint="eastAsia"/>
          <w:szCs w:val="32"/>
        </w:rPr>
        <w:t>日前建成的“退二”企业用地及低效利用的旧厂房、旧仓储、旧站场、旧市场等（以下统称旧厂房）建设用地，符合以下条件之一的，经市人民政府同意，可列入改造范围：</w:t>
      </w:r>
    </w:p>
    <w:p>
      <w:pPr>
        <w:widowControl/>
        <w:ind w:firstLine="640"/>
        <w:rPr>
          <w:szCs w:val="32"/>
        </w:rPr>
      </w:pPr>
      <w:r>
        <w:rPr>
          <w:rFonts w:hint="eastAsia"/>
          <w:szCs w:val="32"/>
        </w:rPr>
        <w:t>（一）经划拨、出让、资产划转、转让等方式合法取得国有土地使用权的土地；</w:t>
      </w:r>
    </w:p>
    <w:p>
      <w:pPr>
        <w:widowControl/>
        <w:ind w:firstLine="640"/>
        <w:rPr>
          <w:szCs w:val="32"/>
        </w:rPr>
      </w:pPr>
      <w:r>
        <w:rPr>
          <w:rFonts w:hint="eastAsia"/>
          <w:szCs w:val="32"/>
        </w:rPr>
        <w:t>（二）已取得合法集体建设用地使用权的旧厂房用地；</w:t>
      </w:r>
    </w:p>
    <w:p>
      <w:pPr>
        <w:widowControl/>
        <w:ind w:firstLine="640"/>
        <w:rPr>
          <w:szCs w:val="32"/>
        </w:rPr>
      </w:pPr>
      <w:r>
        <w:rPr>
          <w:rFonts w:hint="eastAsia"/>
          <w:szCs w:val="32"/>
        </w:rPr>
        <w:t>（三）按照省“三旧”政策完善历史用地手续的原集体土地</w:t>
      </w:r>
      <w:r>
        <w:rPr>
          <w:szCs w:val="32"/>
        </w:rPr>
        <w:t>上</w:t>
      </w:r>
      <w:r>
        <w:rPr>
          <w:rFonts w:hint="eastAsia"/>
          <w:szCs w:val="32"/>
        </w:rPr>
        <w:t>旧厂房用地。</w:t>
      </w:r>
    </w:p>
    <w:p>
      <w:pPr>
        <w:ind w:firstLine="640"/>
        <w:rPr>
          <w:szCs w:val="32"/>
        </w:rPr>
      </w:pPr>
      <w:r>
        <w:rPr>
          <w:szCs w:val="32"/>
        </w:rPr>
        <w:t>2009</w:t>
      </w:r>
      <w:r>
        <w:rPr>
          <w:rFonts w:hint="eastAsia"/>
          <w:szCs w:val="32"/>
        </w:rPr>
        <w:t>年</w:t>
      </w:r>
      <w:r>
        <w:rPr>
          <w:szCs w:val="32"/>
        </w:rPr>
        <w:t>12</w:t>
      </w:r>
      <w:r>
        <w:rPr>
          <w:rFonts w:hint="eastAsia"/>
          <w:szCs w:val="32"/>
        </w:rPr>
        <w:t>月</w:t>
      </w:r>
      <w:r>
        <w:rPr>
          <w:szCs w:val="32"/>
        </w:rPr>
        <w:t>31</w:t>
      </w:r>
      <w:r>
        <w:rPr>
          <w:rFonts w:hint="eastAsia"/>
          <w:szCs w:val="32"/>
        </w:rPr>
        <w:t>日前取得国有土地使用权的旧厂房，其用地未按照土地划拨决定书或土地出让合同约定进行建设的，不适用本细则。</w:t>
      </w:r>
    </w:p>
    <w:p>
      <w:pPr>
        <w:ind w:firstLine="640"/>
        <w:rPr>
          <w:szCs w:val="32"/>
        </w:rPr>
      </w:pPr>
      <w:r>
        <w:rPr>
          <w:szCs w:val="32"/>
        </w:rPr>
        <w:t>2009</w:t>
      </w:r>
      <w:r>
        <w:rPr>
          <w:rFonts w:hint="eastAsia"/>
          <w:szCs w:val="32"/>
        </w:rPr>
        <w:t>年</w:t>
      </w:r>
      <w:r>
        <w:rPr>
          <w:szCs w:val="32"/>
        </w:rPr>
        <w:t>12</w:t>
      </w:r>
      <w:r>
        <w:rPr>
          <w:rFonts w:hint="eastAsia"/>
          <w:szCs w:val="32"/>
        </w:rPr>
        <w:t>月</w:t>
      </w:r>
      <w:r>
        <w:rPr>
          <w:szCs w:val="32"/>
        </w:rPr>
        <w:t>31</w:t>
      </w:r>
      <w:r>
        <w:rPr>
          <w:rFonts w:hint="eastAsia"/>
          <w:szCs w:val="32"/>
        </w:rPr>
        <w:t>日前已列入我市“退二进三”目录并已签订补偿协议取得部分或全部补偿款的旧厂房用地，不适用本细则。</w:t>
      </w:r>
    </w:p>
    <w:p>
      <w:pPr>
        <w:numPr>
          <w:ilvl w:val="0"/>
          <w:numId w:val="2"/>
        </w:numPr>
        <w:shd w:val="clear" w:color="auto" w:fill="auto"/>
        <w:ind w:firstLine="640"/>
        <w:outlineLvl w:val="1"/>
        <w:rPr>
          <w:rFonts w:ascii="黑体" w:hAnsi="黑体" w:eastAsia="黑体" w:cs="黑体"/>
          <w:szCs w:val="32"/>
        </w:rPr>
      </w:pPr>
      <w:bookmarkStart w:id="120" w:name="_Toc132276056"/>
      <w:r>
        <w:rPr>
          <w:rFonts w:hint="eastAsia" w:ascii="黑体" w:hAnsi="黑体" w:eastAsia="黑体" w:cs="黑体"/>
          <w:szCs w:val="32"/>
        </w:rPr>
        <w:t>【基本原则和</w:t>
      </w:r>
      <w:r>
        <w:rPr>
          <w:rFonts w:ascii="黑体" w:hAnsi="黑体" w:eastAsia="黑体" w:cs="黑体"/>
          <w:szCs w:val="32"/>
        </w:rPr>
        <w:t>改造目标</w:t>
      </w:r>
      <w:r>
        <w:rPr>
          <w:rFonts w:hint="eastAsia" w:ascii="黑体" w:hAnsi="黑体" w:eastAsia="黑体" w:cs="黑体"/>
          <w:szCs w:val="32"/>
        </w:rPr>
        <w:t>】</w:t>
      </w:r>
      <w:bookmarkEnd w:id="120"/>
    </w:p>
    <w:p>
      <w:pPr>
        <w:ind w:firstLine="640"/>
        <w:rPr>
          <w:szCs w:val="32"/>
        </w:rPr>
      </w:pPr>
      <w:r>
        <w:rPr>
          <w:rFonts w:hint="eastAsia"/>
          <w:szCs w:val="32"/>
        </w:rPr>
        <w:t>旧厂房改造应当遵循“政府引导、企业参与、科学规划、连片改造、配套优先、集约节约”的原则，以促进产业转型升级、转变经济发展方式、提高土地高效利用为目的，充分调动土地权属人的积极性，鼓励战略性新兴产业、先进制造业、</w:t>
      </w:r>
      <w:r>
        <w:t>现代服务业</w:t>
      </w:r>
      <w:r>
        <w:rPr>
          <w:rFonts w:hint="eastAsia"/>
          <w:szCs w:val="32"/>
        </w:rPr>
        <w:t>等现代产业发展，推动制造业高质量发展，增加生态用地和公共配套设施用地，统筹改善周边人居环境，优化城乡环境。</w:t>
      </w:r>
    </w:p>
    <w:p>
      <w:pPr>
        <w:numPr>
          <w:ilvl w:val="0"/>
          <w:numId w:val="2"/>
        </w:numPr>
        <w:shd w:val="clear" w:color="auto" w:fill="auto"/>
        <w:ind w:firstLine="640"/>
        <w:outlineLvl w:val="1"/>
        <w:rPr>
          <w:rFonts w:ascii="黑体" w:hAnsi="黑体" w:eastAsia="黑体" w:cs="黑体"/>
          <w:szCs w:val="32"/>
        </w:rPr>
      </w:pPr>
      <w:bookmarkStart w:id="121" w:name="_Toc132276057"/>
      <w:r>
        <w:rPr>
          <w:rFonts w:hint="eastAsia" w:ascii="黑体" w:hAnsi="黑体" w:eastAsia="黑体" w:cs="黑体"/>
          <w:szCs w:val="32"/>
        </w:rPr>
        <w:t>【改造规划和计划管理】</w:t>
      </w:r>
      <w:bookmarkEnd w:id="121"/>
    </w:p>
    <w:p>
      <w:pPr>
        <w:ind w:firstLine="640"/>
        <w:rPr>
          <w:szCs w:val="32"/>
        </w:rPr>
      </w:pPr>
      <w:r>
        <w:rPr>
          <w:rFonts w:hint="eastAsia"/>
          <w:szCs w:val="32"/>
        </w:rPr>
        <w:t>旧厂房改造项目应当符合国民经济和社会发展规划、国土空间总体规划和国土空间详细规划。</w:t>
      </w:r>
    </w:p>
    <w:p>
      <w:pPr>
        <w:ind w:firstLine="640"/>
        <w:rPr>
          <w:szCs w:val="32"/>
        </w:rPr>
      </w:pPr>
      <w:r>
        <w:rPr>
          <w:rFonts w:hint="eastAsia"/>
          <w:szCs w:val="32"/>
        </w:rPr>
        <w:t>旧厂房改造项目应当符合区域发展定位、产业导向、历史文化遗产保护、工业产业区块管理要求和城市基础设施规划建设要求，纳入城市更新项目年度计划，有序稳步推进。</w:t>
      </w:r>
    </w:p>
    <w:p>
      <w:pPr>
        <w:numPr>
          <w:ilvl w:val="0"/>
          <w:numId w:val="2"/>
        </w:numPr>
        <w:shd w:val="clear" w:color="auto" w:fill="auto"/>
        <w:ind w:firstLine="640"/>
        <w:outlineLvl w:val="1"/>
        <w:rPr>
          <w:rFonts w:ascii="黑体" w:hAnsi="黑体" w:eastAsia="黑体" w:cs="黑体"/>
          <w:szCs w:val="32"/>
        </w:rPr>
      </w:pPr>
      <w:bookmarkStart w:id="122" w:name="_Toc132032231"/>
      <w:bookmarkEnd w:id="122"/>
      <w:bookmarkStart w:id="123" w:name="_Toc132031754"/>
      <w:bookmarkEnd w:id="123"/>
      <w:bookmarkStart w:id="124" w:name="_Toc132030466"/>
      <w:bookmarkEnd w:id="124"/>
      <w:bookmarkStart w:id="125" w:name="_Toc132030579"/>
      <w:bookmarkEnd w:id="125"/>
      <w:bookmarkStart w:id="126" w:name="_Toc132031755"/>
      <w:bookmarkEnd w:id="126"/>
      <w:bookmarkStart w:id="127" w:name="_Toc132031868"/>
      <w:bookmarkEnd w:id="127"/>
      <w:bookmarkStart w:id="128" w:name="_Toc132032232"/>
      <w:bookmarkEnd w:id="128"/>
      <w:bookmarkStart w:id="129" w:name="_Toc132030467"/>
      <w:bookmarkEnd w:id="129"/>
      <w:bookmarkStart w:id="130" w:name="_Toc132031867"/>
      <w:bookmarkEnd w:id="130"/>
      <w:bookmarkStart w:id="131" w:name="_Toc132030692"/>
      <w:bookmarkEnd w:id="131"/>
      <w:bookmarkStart w:id="132" w:name="_Toc132030578"/>
      <w:bookmarkEnd w:id="132"/>
      <w:bookmarkStart w:id="133" w:name="_Toc132031636"/>
      <w:bookmarkEnd w:id="133"/>
      <w:bookmarkStart w:id="134" w:name="_Toc132030465"/>
      <w:bookmarkEnd w:id="134"/>
      <w:bookmarkStart w:id="135" w:name="_Toc132030691"/>
      <w:bookmarkEnd w:id="135"/>
      <w:bookmarkStart w:id="136" w:name="_Toc132031635"/>
      <w:bookmarkEnd w:id="136"/>
      <w:bookmarkStart w:id="137" w:name="_Toc132030468"/>
      <w:bookmarkEnd w:id="137"/>
      <w:bookmarkStart w:id="138" w:name="_Toc132031759"/>
      <w:bookmarkEnd w:id="138"/>
      <w:bookmarkStart w:id="139" w:name="_Toc132031758"/>
      <w:bookmarkEnd w:id="139"/>
      <w:bookmarkStart w:id="140" w:name="_Toc132031872"/>
      <w:bookmarkEnd w:id="140"/>
      <w:bookmarkStart w:id="141" w:name="_Toc132030469"/>
      <w:bookmarkEnd w:id="141"/>
      <w:bookmarkStart w:id="142" w:name="_Toc132032233"/>
      <w:bookmarkEnd w:id="142"/>
      <w:bookmarkStart w:id="143" w:name="_Toc132031757"/>
      <w:bookmarkEnd w:id="143"/>
      <w:bookmarkStart w:id="144" w:name="_Toc132030471"/>
      <w:bookmarkEnd w:id="144"/>
      <w:bookmarkStart w:id="145" w:name="_Toc132030584"/>
      <w:bookmarkEnd w:id="145"/>
      <w:bookmarkStart w:id="146" w:name="_Toc132031637"/>
      <w:bookmarkEnd w:id="146"/>
      <w:bookmarkStart w:id="147" w:name="_Toc132030581"/>
      <w:bookmarkEnd w:id="147"/>
      <w:bookmarkStart w:id="148" w:name="_Toc132032236"/>
      <w:bookmarkEnd w:id="148"/>
      <w:bookmarkStart w:id="149" w:name="_Toc132030697"/>
      <w:bookmarkEnd w:id="149"/>
      <w:bookmarkStart w:id="150" w:name="_Toc132031641"/>
      <w:bookmarkEnd w:id="150"/>
      <w:bookmarkStart w:id="151" w:name="_Toc132031639"/>
      <w:bookmarkEnd w:id="151"/>
      <w:bookmarkStart w:id="152" w:name="_Toc132030696"/>
      <w:bookmarkEnd w:id="152"/>
      <w:bookmarkStart w:id="153" w:name="_Toc132030582"/>
      <w:bookmarkEnd w:id="153"/>
      <w:bookmarkStart w:id="154" w:name="_Toc132032234"/>
      <w:bookmarkEnd w:id="154"/>
      <w:bookmarkStart w:id="155" w:name="_Toc132030583"/>
      <w:bookmarkEnd w:id="155"/>
      <w:bookmarkStart w:id="156" w:name="_Toc132031760"/>
      <w:bookmarkEnd w:id="156"/>
      <w:bookmarkStart w:id="157" w:name="_Toc132030580"/>
      <w:bookmarkEnd w:id="157"/>
      <w:bookmarkStart w:id="158" w:name="_Toc132031870"/>
      <w:bookmarkEnd w:id="158"/>
      <w:bookmarkStart w:id="159" w:name="_Toc132031640"/>
      <w:bookmarkEnd w:id="159"/>
      <w:bookmarkStart w:id="160" w:name="_Toc132030694"/>
      <w:bookmarkEnd w:id="160"/>
      <w:bookmarkStart w:id="161" w:name="_Toc132030693"/>
      <w:bookmarkEnd w:id="161"/>
      <w:bookmarkStart w:id="162" w:name="_Toc132030695"/>
      <w:bookmarkEnd w:id="162"/>
      <w:bookmarkStart w:id="163" w:name="_Toc132031871"/>
      <w:bookmarkEnd w:id="163"/>
      <w:bookmarkStart w:id="164" w:name="_Toc132031638"/>
      <w:bookmarkEnd w:id="164"/>
      <w:bookmarkStart w:id="165" w:name="_Toc132031869"/>
      <w:bookmarkEnd w:id="165"/>
      <w:bookmarkStart w:id="166" w:name="_Toc132031756"/>
      <w:bookmarkEnd w:id="166"/>
      <w:bookmarkStart w:id="167" w:name="_Toc132032235"/>
      <w:bookmarkEnd w:id="167"/>
      <w:bookmarkStart w:id="168" w:name="_Toc132030470"/>
      <w:bookmarkEnd w:id="168"/>
      <w:bookmarkStart w:id="169" w:name="_Toc132031876"/>
      <w:bookmarkEnd w:id="169"/>
      <w:bookmarkStart w:id="170" w:name="_Toc132032239"/>
      <w:bookmarkEnd w:id="170"/>
      <w:bookmarkStart w:id="171" w:name="_Toc132030588"/>
      <w:bookmarkEnd w:id="171"/>
      <w:bookmarkStart w:id="172" w:name="_Toc132031764"/>
      <w:bookmarkEnd w:id="172"/>
      <w:bookmarkStart w:id="173" w:name="_Toc132031644"/>
      <w:bookmarkEnd w:id="173"/>
      <w:bookmarkStart w:id="174" w:name="_Toc132031643"/>
      <w:bookmarkEnd w:id="174"/>
      <w:bookmarkStart w:id="175" w:name="_Toc132030701"/>
      <w:bookmarkEnd w:id="175"/>
      <w:bookmarkStart w:id="176" w:name="_Toc132030587"/>
      <w:bookmarkEnd w:id="176"/>
      <w:bookmarkStart w:id="177" w:name="_Toc132031877"/>
      <w:bookmarkEnd w:id="177"/>
      <w:bookmarkStart w:id="178" w:name="_Toc132032241"/>
      <w:bookmarkEnd w:id="178"/>
      <w:bookmarkStart w:id="179" w:name="_Toc132031875"/>
      <w:bookmarkEnd w:id="179"/>
      <w:bookmarkStart w:id="180" w:name="_Toc132031761"/>
      <w:bookmarkEnd w:id="180"/>
      <w:bookmarkStart w:id="181" w:name="_Toc132030699"/>
      <w:bookmarkEnd w:id="181"/>
      <w:bookmarkStart w:id="182" w:name="_Toc132030474"/>
      <w:bookmarkEnd w:id="182"/>
      <w:bookmarkStart w:id="183" w:name="_Toc132031645"/>
      <w:bookmarkEnd w:id="183"/>
      <w:bookmarkStart w:id="184" w:name="_Toc132030472"/>
      <w:bookmarkEnd w:id="184"/>
      <w:bookmarkStart w:id="185" w:name="_Toc132032237"/>
      <w:bookmarkEnd w:id="185"/>
      <w:bookmarkStart w:id="186" w:name="_Toc132031762"/>
      <w:bookmarkEnd w:id="186"/>
      <w:bookmarkStart w:id="187" w:name="_Toc132030476"/>
      <w:bookmarkEnd w:id="187"/>
      <w:bookmarkStart w:id="188" w:name="_Toc132030589"/>
      <w:bookmarkEnd w:id="188"/>
      <w:bookmarkStart w:id="189" w:name="_Toc132030585"/>
      <w:bookmarkEnd w:id="189"/>
      <w:bookmarkStart w:id="190" w:name="_Toc132031642"/>
      <w:bookmarkEnd w:id="190"/>
      <w:bookmarkStart w:id="191" w:name="_Toc132031874"/>
      <w:bookmarkEnd w:id="191"/>
      <w:bookmarkStart w:id="192" w:name="_Toc132032238"/>
      <w:bookmarkEnd w:id="192"/>
      <w:bookmarkStart w:id="193" w:name="_Toc132030586"/>
      <w:bookmarkEnd w:id="193"/>
      <w:bookmarkStart w:id="194" w:name="_Toc132030473"/>
      <w:bookmarkEnd w:id="194"/>
      <w:bookmarkStart w:id="195" w:name="_Toc132030700"/>
      <w:bookmarkEnd w:id="195"/>
      <w:bookmarkStart w:id="196" w:name="_Toc132030698"/>
      <w:bookmarkEnd w:id="196"/>
      <w:bookmarkStart w:id="197" w:name="_Toc132032240"/>
      <w:bookmarkEnd w:id="197"/>
      <w:bookmarkStart w:id="198" w:name="_Toc132031873"/>
      <w:bookmarkEnd w:id="198"/>
      <w:bookmarkStart w:id="199" w:name="_Toc132030475"/>
      <w:bookmarkEnd w:id="199"/>
      <w:bookmarkStart w:id="200" w:name="_Toc132031763"/>
      <w:bookmarkEnd w:id="200"/>
      <w:bookmarkStart w:id="201" w:name="_Toc132030590"/>
      <w:bookmarkEnd w:id="201"/>
      <w:bookmarkStart w:id="202" w:name="_Toc132031648"/>
      <w:bookmarkEnd w:id="202"/>
      <w:bookmarkStart w:id="203" w:name="_Toc132031650"/>
      <w:bookmarkEnd w:id="203"/>
      <w:bookmarkStart w:id="204" w:name="_Toc132032245"/>
      <w:bookmarkEnd w:id="204"/>
      <w:bookmarkStart w:id="205" w:name="_Toc132031649"/>
      <w:bookmarkEnd w:id="205"/>
      <w:bookmarkStart w:id="206" w:name="_Toc132031646"/>
      <w:bookmarkEnd w:id="206"/>
      <w:bookmarkStart w:id="207" w:name="_Toc132031766"/>
      <w:bookmarkEnd w:id="207"/>
      <w:bookmarkStart w:id="208" w:name="_Toc132031765"/>
      <w:bookmarkEnd w:id="208"/>
      <w:bookmarkStart w:id="209" w:name="_Toc132031769"/>
      <w:bookmarkEnd w:id="209"/>
      <w:bookmarkStart w:id="210" w:name="_Toc132031882"/>
      <w:bookmarkEnd w:id="210"/>
      <w:bookmarkStart w:id="211" w:name="_Toc132030702"/>
      <w:bookmarkEnd w:id="211"/>
      <w:bookmarkStart w:id="212" w:name="_Toc132031878"/>
      <w:bookmarkEnd w:id="212"/>
      <w:bookmarkStart w:id="213" w:name="_Toc132032242"/>
      <w:bookmarkEnd w:id="213"/>
      <w:bookmarkStart w:id="214" w:name="_Toc132031879"/>
      <w:bookmarkEnd w:id="214"/>
      <w:bookmarkStart w:id="215" w:name="_Toc132030478"/>
      <w:bookmarkEnd w:id="215"/>
      <w:bookmarkStart w:id="216" w:name="_Toc132032244"/>
      <w:bookmarkEnd w:id="216"/>
      <w:bookmarkStart w:id="217" w:name="_Toc132031647"/>
      <w:bookmarkEnd w:id="217"/>
      <w:bookmarkStart w:id="218" w:name="_Toc132032243"/>
      <w:bookmarkEnd w:id="218"/>
      <w:bookmarkStart w:id="219" w:name="_Toc132030477"/>
      <w:bookmarkEnd w:id="219"/>
      <w:bookmarkStart w:id="220" w:name="_Toc132030704"/>
      <w:bookmarkEnd w:id="220"/>
      <w:bookmarkStart w:id="221" w:name="_Toc132031880"/>
      <w:bookmarkEnd w:id="221"/>
      <w:bookmarkStart w:id="222" w:name="_Toc132030705"/>
      <w:bookmarkEnd w:id="222"/>
      <w:bookmarkStart w:id="223" w:name="_Toc132031767"/>
      <w:bookmarkEnd w:id="223"/>
      <w:bookmarkStart w:id="224" w:name="_Toc132030480"/>
      <w:bookmarkEnd w:id="224"/>
      <w:bookmarkStart w:id="225" w:name="_Toc132030592"/>
      <w:bookmarkEnd w:id="225"/>
      <w:bookmarkStart w:id="226" w:name="_Toc132030479"/>
      <w:bookmarkEnd w:id="226"/>
      <w:bookmarkStart w:id="227" w:name="_Toc132031768"/>
      <w:bookmarkEnd w:id="227"/>
      <w:bookmarkStart w:id="228" w:name="_Toc132031881"/>
      <w:bookmarkEnd w:id="228"/>
      <w:bookmarkStart w:id="229" w:name="_Toc132030703"/>
      <w:bookmarkEnd w:id="229"/>
      <w:bookmarkStart w:id="230" w:name="_Toc132030591"/>
      <w:bookmarkEnd w:id="230"/>
      <w:bookmarkStart w:id="231" w:name="_Toc132030593"/>
      <w:bookmarkEnd w:id="231"/>
      <w:bookmarkStart w:id="232" w:name="_Toc132030706"/>
      <w:bookmarkEnd w:id="232"/>
      <w:bookmarkStart w:id="233" w:name="_Toc132030597"/>
      <w:bookmarkEnd w:id="233"/>
      <w:bookmarkStart w:id="234" w:name="_Toc132031770"/>
      <w:bookmarkEnd w:id="234"/>
      <w:bookmarkStart w:id="235" w:name="_Toc132030710"/>
      <w:bookmarkEnd w:id="235"/>
      <w:bookmarkStart w:id="236" w:name="_Toc132031654"/>
      <w:bookmarkEnd w:id="236"/>
      <w:bookmarkStart w:id="237" w:name="_Toc132031773"/>
      <w:bookmarkEnd w:id="237"/>
      <w:bookmarkStart w:id="238" w:name="_Toc132031883"/>
      <w:bookmarkEnd w:id="238"/>
      <w:bookmarkStart w:id="239" w:name="_Toc132032249"/>
      <w:bookmarkEnd w:id="239"/>
      <w:bookmarkStart w:id="240" w:name="_Toc132032246"/>
      <w:bookmarkEnd w:id="240"/>
      <w:bookmarkStart w:id="241" w:name="_Toc132031651"/>
      <w:bookmarkEnd w:id="241"/>
      <w:bookmarkStart w:id="242" w:name="_Toc132031772"/>
      <w:bookmarkEnd w:id="242"/>
      <w:bookmarkStart w:id="243" w:name="_Toc132031886"/>
      <w:bookmarkEnd w:id="243"/>
      <w:bookmarkStart w:id="244" w:name="_Toc132030482"/>
      <w:bookmarkEnd w:id="244"/>
      <w:bookmarkStart w:id="245" w:name="_Toc132032250"/>
      <w:bookmarkEnd w:id="245"/>
      <w:bookmarkStart w:id="246" w:name="_Toc132032247"/>
      <w:bookmarkEnd w:id="246"/>
      <w:bookmarkStart w:id="247" w:name="_Toc132032248"/>
      <w:bookmarkEnd w:id="247"/>
      <w:bookmarkStart w:id="248" w:name="_Toc132030707"/>
      <w:bookmarkEnd w:id="248"/>
      <w:bookmarkStart w:id="249" w:name="_Toc132030483"/>
      <w:bookmarkEnd w:id="249"/>
      <w:bookmarkStart w:id="250" w:name="_Toc132030596"/>
      <w:bookmarkEnd w:id="250"/>
      <w:bookmarkStart w:id="251" w:name="_Toc132030484"/>
      <w:bookmarkEnd w:id="251"/>
      <w:bookmarkStart w:id="252" w:name="_Toc132031771"/>
      <w:bookmarkEnd w:id="252"/>
      <w:bookmarkStart w:id="253" w:name="_Toc132031653"/>
      <w:bookmarkEnd w:id="253"/>
      <w:bookmarkStart w:id="254" w:name="_Toc132030709"/>
      <w:bookmarkEnd w:id="254"/>
      <w:bookmarkStart w:id="255" w:name="_Toc132030481"/>
      <w:bookmarkEnd w:id="255"/>
      <w:bookmarkStart w:id="256" w:name="_Toc132030595"/>
      <w:bookmarkEnd w:id="256"/>
      <w:bookmarkStart w:id="257" w:name="_Toc132030594"/>
      <w:bookmarkEnd w:id="257"/>
      <w:bookmarkStart w:id="258" w:name="_Toc132030708"/>
      <w:bookmarkEnd w:id="258"/>
      <w:bookmarkStart w:id="259" w:name="_Toc132031652"/>
      <w:bookmarkEnd w:id="259"/>
      <w:bookmarkStart w:id="260" w:name="_Toc132031885"/>
      <w:bookmarkEnd w:id="260"/>
      <w:bookmarkStart w:id="261" w:name="_Toc132031884"/>
      <w:bookmarkEnd w:id="261"/>
      <w:bookmarkStart w:id="262" w:name="_Toc132276058"/>
      <w:r>
        <w:rPr>
          <w:rFonts w:hint="eastAsia" w:ascii="黑体" w:hAnsi="黑体" w:eastAsia="黑体" w:cs="黑体"/>
          <w:szCs w:val="32"/>
        </w:rPr>
        <w:t>【</w:t>
      </w:r>
      <w:r>
        <w:rPr>
          <w:rFonts w:ascii="黑体" w:hAnsi="黑体" w:eastAsia="黑体" w:cs="黑体"/>
          <w:szCs w:val="32"/>
        </w:rPr>
        <w:t>项目</w:t>
      </w:r>
      <w:r>
        <w:rPr>
          <w:rFonts w:hint="eastAsia" w:ascii="黑体" w:hAnsi="黑体" w:eastAsia="黑体" w:cs="黑体"/>
          <w:szCs w:val="32"/>
        </w:rPr>
        <w:t>管理与资金保障】</w:t>
      </w:r>
      <w:bookmarkEnd w:id="262"/>
    </w:p>
    <w:p>
      <w:pPr>
        <w:ind w:firstLine="640"/>
        <w:rPr>
          <w:szCs w:val="32"/>
        </w:rPr>
      </w:pPr>
      <w:r>
        <w:rPr>
          <w:rFonts w:hint="eastAsia"/>
          <w:szCs w:val="32"/>
        </w:rPr>
        <w:t>市住房和城乡建设主管部门负责汇总市本级投资的城市更新项目基本情况，报市发展改革部门列入市政府投资项目储备库，并下达市本级政府旧厂房改造项目投资计划。城市更新项目年度计划和年度土地储备计划，应当对需政府收回土地使用权的国有土地上旧厂房改造项目进行互认。纳入村镇工业集聚区更新改造试点项目的，可视为纳入城市更新项目储备库。</w:t>
      </w:r>
    </w:p>
    <w:p>
      <w:pPr>
        <w:ind w:firstLine="640"/>
        <w:rPr>
          <w:szCs w:val="32"/>
        </w:rPr>
      </w:pPr>
      <w:r>
        <w:rPr>
          <w:rFonts w:hint="eastAsia"/>
          <w:szCs w:val="32"/>
        </w:rPr>
        <w:t>市财政部门每年安排一定资金用于政府主导项目的土地征收、收购与整理，并依法对资金使用进行监督管理。</w:t>
      </w:r>
    </w:p>
    <w:p>
      <w:pPr>
        <w:numPr>
          <w:ilvl w:val="0"/>
          <w:numId w:val="2"/>
        </w:numPr>
        <w:shd w:val="clear" w:color="auto" w:fill="auto"/>
        <w:ind w:firstLine="640"/>
        <w:outlineLvl w:val="1"/>
        <w:rPr>
          <w:rFonts w:ascii="黑体" w:hAnsi="黑体" w:eastAsia="黑体" w:cs="黑体"/>
          <w:szCs w:val="32"/>
        </w:rPr>
      </w:pPr>
      <w:bookmarkStart w:id="263" w:name="_Toc132276059"/>
      <w:r>
        <w:rPr>
          <w:rFonts w:hint="eastAsia" w:ascii="黑体" w:hAnsi="黑体" w:eastAsia="黑体" w:cs="黑体"/>
          <w:szCs w:val="32"/>
        </w:rPr>
        <w:t>【改造模式】</w:t>
      </w:r>
      <w:bookmarkEnd w:id="263"/>
    </w:p>
    <w:p>
      <w:pPr>
        <w:ind w:firstLine="640"/>
        <w:rPr>
          <w:szCs w:val="32"/>
        </w:rPr>
      </w:pPr>
      <w:r>
        <w:rPr>
          <w:rFonts w:hint="eastAsia"/>
          <w:szCs w:val="32"/>
        </w:rPr>
        <w:t>按照旧厂房土地处置方式划分，旧厂房改造模式分为政府收储、自主改造以及政府收储和自主改造结合三种。</w:t>
      </w:r>
    </w:p>
    <w:p>
      <w:pPr>
        <w:numPr>
          <w:ilvl w:val="0"/>
          <w:numId w:val="2"/>
        </w:numPr>
        <w:shd w:val="clear" w:color="auto" w:fill="auto"/>
        <w:ind w:firstLine="640"/>
        <w:outlineLvl w:val="1"/>
        <w:rPr>
          <w:rFonts w:ascii="黑体" w:hAnsi="黑体" w:eastAsia="黑体" w:cs="黑体"/>
          <w:szCs w:val="32"/>
        </w:rPr>
      </w:pPr>
      <w:r>
        <w:rPr>
          <w:rFonts w:hint="eastAsia" w:ascii="黑体" w:hAnsi="黑体" w:eastAsia="黑体" w:cs="黑体"/>
          <w:szCs w:val="32"/>
        </w:rPr>
        <w:t>【国有土地上旧厂房优先交由政府收储】</w:t>
      </w:r>
    </w:p>
    <w:p>
      <w:pPr>
        <w:ind w:firstLine="640"/>
        <w:rPr>
          <w:lang w:val="zh-CN"/>
        </w:rPr>
      </w:pPr>
      <w:r>
        <w:rPr>
          <w:rFonts w:hint="eastAsia"/>
          <w:lang w:val="zh-CN"/>
        </w:rPr>
        <w:t>国有土地上的旧厂房符合以下情形之一的，</w:t>
      </w:r>
      <w:r>
        <w:rPr>
          <w:rFonts w:hint="eastAsia"/>
          <w:szCs w:val="32"/>
        </w:rPr>
        <w:t>土地权属人</w:t>
      </w:r>
      <w:r>
        <w:rPr>
          <w:rFonts w:hint="eastAsia"/>
          <w:lang w:val="zh-CN"/>
        </w:rPr>
        <w:t>应当将地块交由政府收储，由政府依法收回土地使用权：</w:t>
      </w:r>
    </w:p>
    <w:p>
      <w:pPr>
        <w:ind w:firstLine="640"/>
        <w:rPr>
          <w:lang w:val="zh-CN"/>
        </w:rPr>
      </w:pPr>
      <w:r>
        <w:rPr>
          <w:rFonts w:hint="eastAsia"/>
          <w:lang w:val="zh-CN"/>
        </w:rPr>
        <w:t>（一）详细规划为居住用地（不含保障性住房）；</w:t>
      </w:r>
    </w:p>
    <w:p>
      <w:pPr>
        <w:ind w:firstLine="640"/>
        <w:rPr>
          <w:lang w:val="zh-CN"/>
        </w:rPr>
      </w:pPr>
      <w:r>
        <w:rPr>
          <w:rFonts w:hint="eastAsia"/>
          <w:lang w:val="zh-CN"/>
        </w:rPr>
        <w:t>（二）位于重点片区、重点生态敏感地区；</w:t>
      </w:r>
    </w:p>
    <w:p>
      <w:pPr>
        <w:ind w:firstLine="640"/>
        <w:rPr>
          <w:lang w:val="zh-CN"/>
        </w:rPr>
      </w:pPr>
      <w:r>
        <w:rPr>
          <w:rFonts w:hint="eastAsia"/>
          <w:lang w:val="zh-CN"/>
        </w:rPr>
        <w:t>（三）位于地铁、城际铁路站点（含规划及在建站点）周边800米范围内；</w:t>
      </w:r>
    </w:p>
    <w:p>
      <w:pPr>
        <w:ind w:firstLine="640"/>
        <w:rPr>
          <w:lang w:val="zh-CN"/>
        </w:rPr>
      </w:pPr>
      <w:r>
        <w:rPr>
          <w:rFonts w:hint="eastAsia"/>
          <w:lang w:val="zh-CN"/>
        </w:rPr>
        <w:t>（四）已纳入土地储备计划；</w:t>
      </w:r>
    </w:p>
    <w:p>
      <w:pPr>
        <w:ind w:firstLine="640"/>
        <w:rPr>
          <w:lang w:val="zh-CN"/>
        </w:rPr>
      </w:pPr>
      <w:r>
        <w:rPr>
          <w:rFonts w:hint="eastAsia"/>
          <w:lang w:val="zh-CN"/>
        </w:rPr>
        <w:t>（五）位于政府计划成片连片收储用地范围。</w:t>
      </w:r>
    </w:p>
    <w:p>
      <w:pPr>
        <w:ind w:firstLine="640"/>
        <w:rPr>
          <w:lang w:val="zh-CN"/>
        </w:rPr>
      </w:pPr>
      <w:r>
        <w:rPr>
          <w:rFonts w:hint="eastAsia"/>
          <w:lang w:val="zh-CN"/>
        </w:rPr>
        <w:t>除上述情形外，国有土地上的旧厂房位于旧城区、珠江沿岸高质量发展区的，应当优先交由政府收储。</w:t>
      </w:r>
    </w:p>
    <w:p>
      <w:pPr>
        <w:numPr>
          <w:ilvl w:val="0"/>
          <w:numId w:val="2"/>
        </w:numPr>
        <w:shd w:val="clear" w:color="auto" w:fill="auto"/>
        <w:ind w:firstLine="640"/>
        <w:outlineLvl w:val="1"/>
        <w:rPr>
          <w:rFonts w:ascii="黑体" w:hAnsi="黑体" w:eastAsia="黑体" w:cs="黑体"/>
          <w:szCs w:val="32"/>
        </w:rPr>
      </w:pPr>
      <w:bookmarkStart w:id="264" w:name="_Toc132276060"/>
      <w:r>
        <w:rPr>
          <w:rFonts w:hint="eastAsia" w:ascii="黑体" w:hAnsi="黑体" w:eastAsia="黑体" w:cs="黑体"/>
          <w:szCs w:val="32"/>
        </w:rPr>
        <w:t>【国有土地上旧厂房政府收储补偿款的计算】</w:t>
      </w:r>
      <w:bookmarkEnd w:id="264"/>
    </w:p>
    <w:p>
      <w:pPr>
        <w:ind w:firstLine="640"/>
        <w:rPr>
          <w:szCs w:val="32"/>
        </w:rPr>
      </w:pPr>
      <w:r>
        <w:rPr>
          <w:rFonts w:hint="eastAsia"/>
          <w:szCs w:val="32"/>
        </w:rPr>
        <w:t>旧厂房改造交由政府收回，改为居住或商业服务业设施用地的，居住用地毛容积率</w:t>
      </w:r>
      <w:r>
        <w:rPr>
          <w:szCs w:val="32"/>
        </w:rPr>
        <w:t>2.0</w:t>
      </w:r>
      <w:r>
        <w:rPr>
          <w:rFonts w:hint="eastAsia"/>
          <w:szCs w:val="32"/>
        </w:rPr>
        <w:t>以下（含）、商业服务业设施用地毛容积率</w:t>
      </w:r>
      <w:r>
        <w:rPr>
          <w:szCs w:val="32"/>
        </w:rPr>
        <w:t>2.5</w:t>
      </w:r>
      <w:r>
        <w:rPr>
          <w:rFonts w:hint="eastAsia"/>
          <w:szCs w:val="32"/>
        </w:rPr>
        <w:t>以下（含）部分，可以按不高于公开出让成交价或新规划用途市场评估价的</w:t>
      </w:r>
      <w:r>
        <w:rPr>
          <w:szCs w:val="32"/>
        </w:rPr>
        <w:t>60%</w:t>
      </w:r>
      <w:r>
        <w:rPr>
          <w:rFonts w:hint="eastAsia"/>
          <w:szCs w:val="32"/>
        </w:rPr>
        <w:t>计算补偿款。居住用地毛容积率</w:t>
      </w:r>
      <w:r>
        <w:rPr>
          <w:szCs w:val="32"/>
        </w:rPr>
        <w:t>2.0</w:t>
      </w:r>
      <w:r>
        <w:rPr>
          <w:rFonts w:hint="eastAsia"/>
          <w:szCs w:val="32"/>
        </w:rPr>
        <w:t>以上、商业服务业设施用地毛容积率</w:t>
      </w:r>
      <w:r>
        <w:rPr>
          <w:szCs w:val="32"/>
        </w:rPr>
        <w:t>2.5</w:t>
      </w:r>
      <w:r>
        <w:rPr>
          <w:rFonts w:hint="eastAsia"/>
          <w:szCs w:val="32"/>
        </w:rPr>
        <w:t>以上部分，按照该部分的公开出让成交价或新规划用途市场评估价的</w:t>
      </w:r>
      <w:r>
        <w:rPr>
          <w:szCs w:val="32"/>
        </w:rPr>
        <w:t>10%</w:t>
      </w:r>
      <w:r>
        <w:rPr>
          <w:rFonts w:hint="eastAsia"/>
          <w:szCs w:val="32"/>
        </w:rPr>
        <w:t>计算补偿款。</w:t>
      </w:r>
    </w:p>
    <w:p>
      <w:pPr>
        <w:ind w:firstLine="640"/>
      </w:pPr>
      <w:r>
        <w:rPr>
          <w:rFonts w:hint="eastAsia"/>
        </w:rPr>
        <w:t>除上述情形外，</w:t>
      </w:r>
      <w:bookmarkStart w:id="265" w:name="_Hlk153289176"/>
      <w:r>
        <w:rPr>
          <w:rFonts w:hint="eastAsia"/>
        </w:rPr>
        <w:t>国有土地上的旧厂房交由政府收回的，可</w:t>
      </w:r>
      <w:r>
        <w:rPr>
          <w:rFonts w:hint="eastAsia"/>
          <w:szCs w:val="32"/>
        </w:rPr>
        <w:t>以</w:t>
      </w:r>
      <w:r>
        <w:rPr>
          <w:rFonts w:hint="eastAsia"/>
        </w:rPr>
        <w:t>按照同地段毛容积率</w:t>
      </w:r>
      <w:r>
        <w:t>2.5</w:t>
      </w:r>
      <w:r>
        <w:rPr>
          <w:rFonts w:hint="eastAsia"/>
        </w:rPr>
        <w:t>商业用途市场评估价的</w:t>
      </w:r>
      <w:r>
        <w:t>50%</w:t>
      </w:r>
      <w:r>
        <w:rPr>
          <w:rFonts w:hint="eastAsia"/>
        </w:rPr>
        <w:t>计算补偿款。</w:t>
      </w:r>
      <w:bookmarkEnd w:id="265"/>
      <w:r>
        <w:rPr>
          <w:rFonts w:hint="eastAsia"/>
        </w:rPr>
        <w:t>对已纳入“三旧”改造地块数据库但经复核不符合最新入库条件部分，或成片连片改造范围内未纳入“三旧”改造地块数据库的国有建设用地，可以按同地段毛容积率2.5商业用途市场评估价的3</w:t>
      </w:r>
      <w:r>
        <w:t>0</w:t>
      </w:r>
      <w:r>
        <w:rPr>
          <w:rFonts w:hint="eastAsia"/>
        </w:rPr>
        <w:t>%计算补偿款。土地权属人与土地储备机构签订国有土地使用权收储补偿协议后</w:t>
      </w:r>
      <w:r>
        <w:t>12</w:t>
      </w:r>
      <w:r>
        <w:rPr>
          <w:rFonts w:hint="eastAsia"/>
        </w:rPr>
        <w:t>个月内完成交地的，</w:t>
      </w:r>
      <w:bookmarkStart w:id="266" w:name="_Hlk153289210"/>
      <w:r>
        <w:rPr>
          <w:rFonts w:hint="eastAsia"/>
        </w:rPr>
        <w:t>可以按上述商业用途市场评估价的</w:t>
      </w:r>
      <w:r>
        <w:t>10%</w:t>
      </w:r>
      <w:r>
        <w:rPr>
          <w:rFonts w:hint="eastAsia"/>
        </w:rPr>
        <w:t>给予奖励。</w:t>
      </w:r>
    </w:p>
    <w:p>
      <w:pPr>
        <w:ind w:firstLine="640"/>
        <w:rPr>
          <w:szCs w:val="32"/>
        </w:rPr>
      </w:pPr>
      <w:r>
        <w:rPr>
          <w:rFonts w:hint="eastAsia"/>
          <w:szCs w:val="32"/>
        </w:rPr>
        <w:t>完善历史用地征收手续后的</w:t>
      </w:r>
      <w:r>
        <w:rPr>
          <w:rFonts w:hint="eastAsia" w:cs="仿宋"/>
          <w:szCs w:val="18"/>
        </w:rPr>
        <w:t>旧厂房</w:t>
      </w:r>
      <w:r>
        <w:rPr>
          <w:rFonts w:hint="eastAsia"/>
          <w:szCs w:val="32"/>
        </w:rPr>
        <w:t>改造为居住用地，或者其他公共设施用地的，由政府按国有土地上旧厂改造政策收储。</w:t>
      </w:r>
    </w:p>
    <w:p>
      <w:pPr>
        <w:numPr>
          <w:ilvl w:val="0"/>
          <w:numId w:val="2"/>
        </w:numPr>
        <w:shd w:val="clear" w:color="auto" w:fill="auto"/>
        <w:ind w:firstLine="640"/>
        <w:outlineLvl w:val="1"/>
        <w:rPr>
          <w:rFonts w:ascii="黑体" w:hAnsi="黑体" w:eastAsia="黑体" w:cs="黑体"/>
          <w:szCs w:val="32"/>
        </w:rPr>
      </w:pPr>
      <w:r>
        <w:rPr>
          <w:rFonts w:hint="eastAsia" w:ascii="黑体" w:hAnsi="黑体" w:eastAsia="黑体" w:cs="黑体"/>
          <w:szCs w:val="32"/>
        </w:rPr>
        <w:t>【政府收储补偿款规定】</w:t>
      </w:r>
    </w:p>
    <w:bookmarkEnd w:id="266"/>
    <w:p>
      <w:pPr>
        <w:ind w:firstLine="640"/>
        <w:rPr>
          <w:szCs w:val="32"/>
        </w:rPr>
      </w:pPr>
      <w:r>
        <w:rPr>
          <w:rFonts w:hint="eastAsia"/>
          <w:szCs w:val="32"/>
        </w:rPr>
        <w:t>本细则第八条所称补偿款包含土地补偿款、建（构）筑物补偿款、清租补偿款、停产停业损失补偿款、拆卸费、管线迁改费、土地整理费、土壤污染状况调查和风险评估及修复费、树木及历史文化遗产调查评估和保护工作费，及其他相关土地评估和检测费用。国有土地上的旧厂房交由政府收回的，应当由原土地权属人自行搬迁整理土地，土地整理、土壤环境调查和风险评估费、土壤修复费等</w:t>
      </w:r>
      <w:r>
        <w:rPr>
          <w:szCs w:val="32"/>
        </w:rPr>
        <w:t>费</w:t>
      </w:r>
      <w:r>
        <w:rPr>
          <w:rFonts w:hint="eastAsia"/>
          <w:szCs w:val="32"/>
        </w:rPr>
        <w:t>用不再另行补偿。</w:t>
      </w:r>
    </w:p>
    <w:p>
      <w:pPr>
        <w:ind w:firstLine="640"/>
        <w:rPr>
          <w:szCs w:val="32"/>
        </w:rPr>
      </w:pPr>
      <w:r>
        <w:rPr>
          <w:rFonts w:hint="eastAsia"/>
          <w:szCs w:val="32"/>
        </w:rPr>
        <w:t>按照土地公开出让成交价款补偿的，土地成交后因规划调整使土地价款发生增减的，补偿款不作调整。</w:t>
      </w:r>
    </w:p>
    <w:p>
      <w:pPr>
        <w:ind w:firstLine="640"/>
        <w:rPr>
          <w:szCs w:val="32"/>
        </w:rPr>
      </w:pPr>
      <w:r>
        <w:rPr>
          <w:rFonts w:hint="eastAsia"/>
          <w:szCs w:val="32"/>
        </w:rPr>
        <w:t>按照市场评估价补偿的，在国有土地使用权收储补偿协议签订并支付</w:t>
      </w:r>
      <w:r>
        <w:rPr>
          <w:szCs w:val="32"/>
        </w:rPr>
        <w:t>定金</w:t>
      </w:r>
      <w:r>
        <w:rPr>
          <w:rFonts w:hint="eastAsia"/>
          <w:szCs w:val="32"/>
        </w:rPr>
        <w:t>后，因规划调整使土地价款发生增减的，补偿款不作调整。市场评估价的有效期按《城镇土地估价规程》的规定执行。补偿款支付方式由土地储备机构与原土地权属人自行协商。原土地权属人选择公开出让后分成的，原则上预付补偿款不超过新规划用途基准地价的</w:t>
      </w:r>
      <w:r>
        <w:rPr>
          <w:szCs w:val="32"/>
        </w:rPr>
        <w:t>30</w:t>
      </w:r>
      <w:r>
        <w:rPr>
          <w:rFonts w:hint="eastAsia"/>
          <w:szCs w:val="32"/>
        </w:rPr>
        <w:t>％。</w:t>
      </w:r>
    </w:p>
    <w:p>
      <w:pPr>
        <w:numPr>
          <w:ilvl w:val="0"/>
          <w:numId w:val="2"/>
        </w:numPr>
        <w:shd w:val="clear" w:color="auto" w:fill="auto"/>
        <w:ind w:firstLine="640"/>
        <w:outlineLvl w:val="1"/>
        <w:rPr>
          <w:rFonts w:ascii="黑体" w:hAnsi="黑体" w:eastAsia="黑体" w:cs="黑体"/>
          <w:szCs w:val="32"/>
        </w:rPr>
      </w:pPr>
      <w:bookmarkStart w:id="267" w:name="_Toc132276061"/>
      <w:r>
        <w:rPr>
          <w:rFonts w:hint="eastAsia" w:ascii="黑体" w:hAnsi="黑体" w:eastAsia="黑体" w:cs="黑体"/>
          <w:szCs w:val="32"/>
        </w:rPr>
        <w:t>【</w:t>
      </w:r>
      <w:bookmarkStart w:id="268" w:name="_Hlk153289373"/>
      <w:r>
        <w:rPr>
          <w:rFonts w:hint="eastAsia" w:ascii="黑体" w:hAnsi="黑体" w:eastAsia="黑体" w:cs="黑体"/>
          <w:szCs w:val="32"/>
        </w:rPr>
        <w:t>国有土地上旧厂房改造</w:t>
      </w:r>
      <w:bookmarkEnd w:id="268"/>
      <w:r>
        <w:rPr>
          <w:rFonts w:hint="eastAsia" w:ascii="黑体" w:hAnsi="黑体" w:eastAsia="黑体" w:cs="黑体"/>
          <w:szCs w:val="32"/>
        </w:rPr>
        <w:t>为商业服务业设施】</w:t>
      </w:r>
      <w:bookmarkEnd w:id="267"/>
    </w:p>
    <w:p>
      <w:pPr>
        <w:ind w:firstLine="640"/>
      </w:pPr>
      <w:r>
        <w:rPr>
          <w:rFonts w:hint="eastAsia"/>
        </w:rPr>
        <w:t>国有土地上旧厂房改造为商业服务业设施，在本细则第七条规定的收储及优先收储范围外的，旧厂房土地权属人可以申请自主改造。自主改造商业服务设施用地毛容积率2.5以下（含2.5）部分，按申请办理土地有偿使用手续时相应用途市场评估价的</w:t>
      </w:r>
      <w:r>
        <w:t>60%</w:t>
      </w:r>
      <w:r>
        <w:rPr>
          <w:rFonts w:hint="eastAsia"/>
        </w:rPr>
        <w:t>计收土地出让金，商业服务设施用地毛容积率2.5以上部分，按申请办理土地有偿使用手续时市场评估价全额计收土地出让金。国有土地上旧厂房改造为商业服务业设施缴交的土地出让金，应扣减已缴交的原用途土地出让金的未使用部分。</w:t>
      </w:r>
    </w:p>
    <w:p>
      <w:pPr>
        <w:ind w:firstLine="640"/>
      </w:pPr>
      <w:r>
        <w:rPr>
          <w:rFonts w:hint="eastAsia"/>
        </w:rPr>
        <w:t>国有土地上旧厂房改造为商业服务业设施，</w:t>
      </w:r>
      <w:r>
        <w:rPr>
          <w:rFonts w:hint="eastAsia"/>
          <w:szCs w:val="32"/>
        </w:rPr>
        <w:t>涉及以划拨方式取得的办理有偿用地手续和完善历史用地征收手续的，按前款规定缴交土地出让金。</w:t>
      </w:r>
    </w:p>
    <w:p>
      <w:pPr>
        <w:numPr>
          <w:ilvl w:val="0"/>
          <w:numId w:val="2"/>
        </w:numPr>
        <w:shd w:val="clear" w:color="auto" w:fill="auto"/>
        <w:ind w:firstLine="640"/>
        <w:outlineLvl w:val="1"/>
        <w:rPr>
          <w:rFonts w:ascii="黑体" w:hAnsi="黑体" w:eastAsia="黑体" w:cs="黑体"/>
          <w:szCs w:val="32"/>
        </w:rPr>
      </w:pPr>
      <w:r>
        <w:rPr>
          <w:rFonts w:hint="eastAsia" w:ascii="黑体" w:hAnsi="黑体" w:eastAsia="黑体" w:cs="黑体"/>
          <w:szCs w:val="32"/>
        </w:rPr>
        <w:t>【国有土地上旧厂房不改变用地性质升级改造】</w:t>
      </w:r>
    </w:p>
    <w:p>
      <w:pPr>
        <w:ind w:firstLine="640"/>
        <w:rPr>
          <w:szCs w:val="32"/>
        </w:rPr>
      </w:pPr>
      <w:r>
        <w:rPr>
          <w:rFonts w:hint="eastAsia"/>
          <w:szCs w:val="32"/>
        </w:rPr>
        <w:t>国有土地上旧厂房采取不改变用地性质升级改造的，可以由土地权属人自主改造。按照详细规划提高容积率，且投资强度、容积率等指标符合省、市规定的，应当签订土地使用权出让合同变更协议，增加的建筑面积不再补缴土地出让价款。如涉及土地重新供应或以划拨方式取得办理有偿使用的和完善历史用地征收手续的，应当按申请办理土地有偿使用手续时工业用途市场评估价的40%计收土地出让金。</w:t>
      </w:r>
    </w:p>
    <w:p>
      <w:pPr>
        <w:ind w:firstLine="640"/>
        <w:rPr>
          <w:szCs w:val="32"/>
        </w:rPr>
      </w:pPr>
      <w:r>
        <w:rPr>
          <w:rFonts w:hint="eastAsia"/>
          <w:szCs w:val="32"/>
        </w:rPr>
        <w:t>原土地已补办出让手续并缴交土地出让金的，剩余年期的土地出让金可作抵扣。剩余年期的土地出让金超过按前款规定须缴交的土地出让金额的，超过部分不可再抵扣。</w:t>
      </w:r>
    </w:p>
    <w:p>
      <w:pPr>
        <w:ind w:firstLine="640"/>
        <w:rPr>
          <w:szCs w:val="32"/>
        </w:rPr>
      </w:pPr>
      <w:r>
        <w:rPr>
          <w:rFonts w:hint="eastAsia"/>
          <w:szCs w:val="32"/>
        </w:rPr>
        <w:t>国有土地上旧厂房用地涉及详细规划为其他用地性质的，如土地权属人申请仍按照普通工业用地建设，经属地区人民政府论证适宜保留普通工业用地性质的，可按土地使用权出让合同、有效历史审批文件及相关规定，对详细规划进行局部修正。</w:t>
      </w:r>
    </w:p>
    <w:p>
      <w:pPr>
        <w:numPr>
          <w:ilvl w:val="0"/>
          <w:numId w:val="2"/>
        </w:numPr>
        <w:shd w:val="clear" w:color="auto" w:fill="auto"/>
        <w:ind w:firstLine="640"/>
        <w:outlineLvl w:val="1"/>
        <w:rPr>
          <w:rFonts w:ascii="黑体" w:hAnsi="黑体" w:eastAsia="黑体" w:cs="黑体"/>
          <w:szCs w:val="32"/>
        </w:rPr>
      </w:pPr>
      <w:r>
        <w:rPr>
          <w:rFonts w:hint="eastAsia" w:ascii="黑体" w:hAnsi="黑体" w:eastAsia="黑体" w:cs="黑体"/>
          <w:szCs w:val="32"/>
        </w:rPr>
        <w:t>【国有土地上旧厂房升级改造为新型产业用地】</w:t>
      </w:r>
    </w:p>
    <w:p>
      <w:pPr>
        <w:ind w:firstLine="640"/>
        <w:rPr>
          <w:szCs w:val="32"/>
        </w:rPr>
      </w:pPr>
      <w:r>
        <w:rPr>
          <w:rFonts w:hint="eastAsia"/>
          <w:szCs w:val="32"/>
        </w:rPr>
        <w:t>国有土地上旧厂房具备条件的，可以</w:t>
      </w:r>
      <w:r>
        <w:rPr>
          <w:rFonts w:hint="eastAsia"/>
          <w:color w:val="333333"/>
          <w:shd w:val="clear" w:color="auto" w:fill="FFFFFF"/>
        </w:rPr>
        <w:t>通过补缴土地出让金的方式，</w:t>
      </w:r>
      <w:r>
        <w:rPr>
          <w:rFonts w:hint="eastAsia"/>
          <w:szCs w:val="32"/>
        </w:rPr>
        <w:t>由土地权属人升级改造为新型产业用地（M</w:t>
      </w:r>
      <w:r>
        <w:rPr>
          <w:szCs w:val="32"/>
        </w:rPr>
        <w:t>0</w:t>
      </w:r>
      <w:r>
        <w:rPr>
          <w:rFonts w:hint="eastAsia"/>
          <w:szCs w:val="32"/>
        </w:rPr>
        <w:t>）。按照申请办理土地有偿使用手续时同地段办公用途市场评估价的</w:t>
      </w:r>
      <w:r>
        <w:rPr>
          <w:szCs w:val="32"/>
        </w:rPr>
        <w:t>20%</w:t>
      </w:r>
      <w:r>
        <w:rPr>
          <w:rFonts w:hint="eastAsia"/>
          <w:szCs w:val="32"/>
        </w:rPr>
        <w:t>缴交土地出让金，并按已出让土地使用权剩余年限进行年限修正。</w:t>
      </w:r>
    </w:p>
    <w:p>
      <w:pPr>
        <w:numPr>
          <w:ilvl w:val="0"/>
          <w:numId w:val="2"/>
        </w:numPr>
        <w:shd w:val="clear" w:color="auto" w:fill="auto"/>
        <w:ind w:firstLine="640"/>
        <w:outlineLvl w:val="1"/>
        <w:rPr>
          <w:rFonts w:ascii="黑体" w:hAnsi="黑体" w:eastAsia="黑体" w:cs="黑体"/>
          <w:szCs w:val="32"/>
        </w:rPr>
      </w:pPr>
      <w:r>
        <w:rPr>
          <w:rFonts w:hint="eastAsia" w:ascii="黑体" w:hAnsi="黑体" w:eastAsia="黑体" w:cs="黑体"/>
          <w:szCs w:val="32"/>
        </w:rPr>
        <w:t>【国有土地上旧厂房改造为保障性租赁住房】</w:t>
      </w:r>
    </w:p>
    <w:p>
      <w:pPr>
        <w:ind w:firstLine="640"/>
      </w:pPr>
      <w:r>
        <w:rPr>
          <w:rFonts w:hint="eastAsia"/>
          <w:szCs w:val="32"/>
        </w:rPr>
        <w:t>国有土地上旧厂房改造为</w:t>
      </w:r>
      <w:r>
        <w:rPr>
          <w:rFonts w:hint="eastAsia"/>
        </w:rPr>
        <w:t>保障性</w:t>
      </w:r>
      <w:r>
        <w:t>租赁住房</w:t>
      </w:r>
      <w:r>
        <w:rPr>
          <w:rFonts w:hint="eastAsia"/>
        </w:rPr>
        <w:t>的，允许变更土地用途，不补缴土地价款，原划拨的土地可以继续保留划拨方式。保障性</w:t>
      </w:r>
      <w:r>
        <w:t>租赁住房认定</w:t>
      </w:r>
      <w:r>
        <w:rPr>
          <w:rFonts w:hint="eastAsia"/>
        </w:rPr>
        <w:t>标准按照市保障性租赁住房项目认定的有关标准执行。</w:t>
      </w:r>
    </w:p>
    <w:p>
      <w:pPr>
        <w:numPr>
          <w:ilvl w:val="0"/>
          <w:numId w:val="2"/>
        </w:numPr>
        <w:shd w:val="clear" w:color="auto" w:fill="auto"/>
        <w:ind w:firstLine="640"/>
        <w:outlineLvl w:val="1"/>
        <w:rPr>
          <w:rFonts w:ascii="黑体" w:hAnsi="黑体" w:eastAsia="黑体" w:cs="黑体"/>
          <w:szCs w:val="32"/>
        </w:rPr>
      </w:pPr>
      <w:bookmarkStart w:id="269" w:name="_Toc132032256"/>
      <w:bookmarkEnd w:id="269"/>
      <w:bookmarkStart w:id="270" w:name="_Toc132031659"/>
      <w:bookmarkEnd w:id="270"/>
      <w:bookmarkStart w:id="271" w:name="_Toc132030715"/>
      <w:bookmarkEnd w:id="271"/>
      <w:bookmarkStart w:id="272" w:name="_Toc132030490"/>
      <w:bookmarkEnd w:id="272"/>
      <w:bookmarkStart w:id="273" w:name="_Toc132031779"/>
      <w:bookmarkEnd w:id="273"/>
      <w:bookmarkStart w:id="274" w:name="_Toc132031892"/>
      <w:bookmarkEnd w:id="274"/>
      <w:bookmarkStart w:id="275" w:name="_Toc132031660"/>
      <w:bookmarkEnd w:id="275"/>
      <w:bookmarkStart w:id="276" w:name="_Toc132030716"/>
      <w:bookmarkEnd w:id="276"/>
      <w:bookmarkStart w:id="277" w:name="_Toc132031778"/>
      <w:bookmarkEnd w:id="277"/>
      <w:bookmarkStart w:id="278" w:name="_Toc132030602"/>
      <w:bookmarkEnd w:id="278"/>
      <w:bookmarkStart w:id="279" w:name="_Toc132032255"/>
      <w:bookmarkEnd w:id="279"/>
      <w:bookmarkStart w:id="280" w:name="_Toc132030603"/>
      <w:bookmarkEnd w:id="280"/>
      <w:bookmarkStart w:id="281" w:name="_Toc132031891"/>
      <w:bookmarkEnd w:id="281"/>
      <w:bookmarkStart w:id="282" w:name="_Toc132030489"/>
      <w:bookmarkEnd w:id="282"/>
      <w:bookmarkStart w:id="283" w:name="_Toc132276062"/>
      <w:r>
        <w:rPr>
          <w:rFonts w:hint="eastAsia" w:ascii="黑体" w:hAnsi="黑体" w:eastAsia="黑体" w:cs="黑体"/>
          <w:szCs w:val="32"/>
        </w:rPr>
        <w:t>【科研、教育、医疗、体育、社会福利机构利用自有土地改造】</w:t>
      </w:r>
      <w:bookmarkEnd w:id="283"/>
    </w:p>
    <w:p>
      <w:pPr>
        <w:ind w:firstLine="640"/>
      </w:pPr>
      <w:r>
        <w:rPr>
          <w:rFonts w:hint="eastAsia"/>
        </w:rPr>
        <w:t>首次供地时以划拨方式取得的科研、教育、医疗、体育、社会福利机构经市人民政府批准，利用自有土地进行改造的，改造后土地用途仍符合《划拨用地目录》的，可继续按划拨方式使用。不符合《划拨用地目录》的，除依法可以采取协议方式外，应当采取招标、拍卖、挂牌等竞争性方式确定土地使用者。采取协议出让方式供应土地使用权的，在土地出让合同约定须整体确权、不分割转让的前提下（违反相关规定须按照商服用途补缴土地出让金），土地出让金计收标准如下：</w:t>
      </w:r>
    </w:p>
    <w:p>
      <w:pPr>
        <w:ind w:firstLine="640"/>
      </w:pPr>
      <w:r>
        <w:rPr>
          <w:rFonts w:hint="eastAsia"/>
        </w:rPr>
        <w:t>（一）改造为教育、医疗、体育、社会福利用地的，可按办理土地有偿使用手续时同地段办公用途市场评估地价的20%计收土地出让金。</w:t>
      </w:r>
    </w:p>
    <w:p>
      <w:pPr>
        <w:ind w:firstLine="640"/>
      </w:pPr>
      <w:r>
        <w:rPr>
          <w:rFonts w:hint="eastAsia"/>
        </w:rPr>
        <w:t>（二）改造为科研用地的，保留工业用地性质的科研用地在不低于国家、省规定的土地出让最低价前提下，可按办理土地有偿使用手续时同地段办公用途市场评估价的20%计收土地出让金；市级以上驻穗科研机构的科研用途用地可按办理土地有偿使用手续时同地段办公用途市场评估地价的20%计收土地出让金；其余商务设施性质科研用地原自有部分可按办理土地有偿使用手续时同地段办公用途市场评估价的40%、增容部分可按办理土地有偿使用手续时同地段办公市场评估价的</w:t>
      </w:r>
      <w:r>
        <w:t>60%</w:t>
      </w:r>
      <w:r>
        <w:rPr>
          <w:rFonts w:hint="eastAsia"/>
        </w:rPr>
        <w:t>计收土地出让金。</w:t>
      </w:r>
    </w:p>
    <w:p>
      <w:pPr>
        <w:numPr>
          <w:ilvl w:val="0"/>
          <w:numId w:val="2"/>
        </w:numPr>
        <w:shd w:val="clear" w:color="auto" w:fill="auto"/>
        <w:ind w:firstLine="640"/>
        <w:outlineLvl w:val="1"/>
        <w:rPr>
          <w:rFonts w:ascii="黑体" w:hAnsi="黑体" w:eastAsia="黑体" w:cs="黑体"/>
          <w:szCs w:val="32"/>
        </w:rPr>
      </w:pPr>
      <w:bookmarkStart w:id="284" w:name="_Toc132276063"/>
      <w:r>
        <w:rPr>
          <w:rFonts w:hint="eastAsia" w:ascii="黑体" w:hAnsi="黑体" w:eastAsia="黑体" w:cs="黑体"/>
          <w:szCs w:val="32"/>
        </w:rPr>
        <w:t>【多宗国有土地上旧厂房整体改造】</w:t>
      </w:r>
      <w:bookmarkEnd w:id="284"/>
    </w:p>
    <w:p>
      <w:pPr>
        <w:ind w:firstLine="640"/>
        <w:rPr>
          <w:szCs w:val="32"/>
        </w:rPr>
      </w:pPr>
      <w:r>
        <w:rPr>
          <w:rFonts w:hint="eastAsia"/>
          <w:szCs w:val="32"/>
        </w:rPr>
        <w:t>属于同一企业集团、涉及多宗国有土地上旧厂房改造的（总用地面积不低于</w:t>
      </w:r>
      <w:r>
        <w:rPr>
          <w:szCs w:val="32"/>
        </w:rPr>
        <w:t>12</w:t>
      </w:r>
      <w:r>
        <w:rPr>
          <w:rFonts w:hint="eastAsia"/>
          <w:szCs w:val="32"/>
        </w:rPr>
        <w:t>公顷），可</w:t>
      </w:r>
      <w:r>
        <w:rPr>
          <w:rFonts w:hint="eastAsia"/>
        </w:rPr>
        <w:t>以</w:t>
      </w:r>
      <w:r>
        <w:rPr>
          <w:rFonts w:hint="eastAsia"/>
          <w:szCs w:val="32"/>
        </w:rPr>
        <w:t>整体实施改造，应将不少于</w:t>
      </w:r>
      <w:r>
        <w:rPr>
          <w:szCs w:val="32"/>
        </w:rPr>
        <w:t>42.5%</w:t>
      </w:r>
      <w:r>
        <w:rPr>
          <w:rFonts w:hint="eastAsia"/>
          <w:szCs w:val="32"/>
        </w:rPr>
        <w:t>的权属用地面积交由政府收回，按本细则第八条实施补偿；剩余非商品住宅规划用地可以协议出让、自主改造。交由政府收回的地块，可</w:t>
      </w:r>
      <w:r>
        <w:rPr>
          <w:rFonts w:hint="eastAsia"/>
        </w:rPr>
        <w:t>以</w:t>
      </w:r>
      <w:r>
        <w:rPr>
          <w:rFonts w:hint="eastAsia"/>
          <w:szCs w:val="32"/>
        </w:rPr>
        <w:t>选择实物补偿方式，按照等价值原则转移至拟自主改造地块。</w:t>
      </w:r>
    </w:p>
    <w:p>
      <w:pPr>
        <w:ind w:firstLine="640"/>
        <w:rPr>
          <w:szCs w:val="32"/>
        </w:rPr>
      </w:pPr>
      <w:r>
        <w:rPr>
          <w:rFonts w:hint="eastAsia"/>
          <w:szCs w:val="32"/>
        </w:rPr>
        <w:t>自主改造地块位于越秀、海珠、荔湾、天河、白云、黄埔、番禺、南沙区的，土地权属人可</w:t>
      </w:r>
      <w:r>
        <w:rPr>
          <w:rFonts w:hint="eastAsia"/>
        </w:rPr>
        <w:t>以</w:t>
      </w:r>
      <w:r>
        <w:rPr>
          <w:rFonts w:hint="eastAsia"/>
          <w:szCs w:val="32"/>
        </w:rPr>
        <w:t>按纳入整体策划改造的多宗土地总用地面积毛容积率</w:t>
      </w:r>
      <w:r>
        <w:rPr>
          <w:szCs w:val="32"/>
        </w:rPr>
        <w:t>1.0</w:t>
      </w:r>
      <w:r>
        <w:rPr>
          <w:rFonts w:hint="eastAsia"/>
          <w:szCs w:val="32"/>
        </w:rPr>
        <w:t>计算非住宅规划权益建筑面积（不含交储地块）；位于花都、增城、从化区的，土地权属人可</w:t>
      </w:r>
      <w:r>
        <w:rPr>
          <w:rFonts w:hint="eastAsia"/>
        </w:rPr>
        <w:t>以</w:t>
      </w:r>
      <w:r>
        <w:rPr>
          <w:rFonts w:hint="eastAsia"/>
          <w:szCs w:val="32"/>
        </w:rPr>
        <w:t>按纳入整体策划改造的多宗土地总用地面积毛容积率</w:t>
      </w:r>
      <w:r>
        <w:rPr>
          <w:szCs w:val="32"/>
        </w:rPr>
        <w:t>0.8</w:t>
      </w:r>
      <w:r>
        <w:rPr>
          <w:rFonts w:hint="eastAsia"/>
          <w:szCs w:val="32"/>
        </w:rPr>
        <w:t>计算非住宅规划权益建筑面积（不含交储地块）。规划权益建筑面积，以协议出让方式供地的，应按办理有偿使用手续时新规划用途市场评估价的</w:t>
      </w:r>
      <w:r>
        <w:rPr>
          <w:szCs w:val="32"/>
        </w:rPr>
        <w:t>6</w:t>
      </w:r>
      <w:r>
        <w:rPr>
          <w:rFonts w:hint="eastAsia"/>
          <w:szCs w:val="32"/>
        </w:rPr>
        <w:t>0%计收土地出让金。规划建筑面积超过规划权益建筑面积的部分，如交由政府收回时未选择实物补偿方式，超出部分应按办理有偿使用手续时新规划用途市场评估价计收土地出让金。</w:t>
      </w:r>
    </w:p>
    <w:p>
      <w:pPr>
        <w:ind w:firstLine="640"/>
        <w:rPr>
          <w:szCs w:val="32"/>
        </w:rPr>
      </w:pPr>
      <w:r>
        <w:rPr>
          <w:rFonts w:hint="eastAsia"/>
          <w:szCs w:val="32"/>
        </w:rPr>
        <w:t>自主改造用地的公建配套应当按照本细则第十六条的规定执行。</w:t>
      </w:r>
    </w:p>
    <w:p>
      <w:pPr>
        <w:numPr>
          <w:ilvl w:val="0"/>
          <w:numId w:val="2"/>
        </w:numPr>
        <w:shd w:val="clear" w:color="auto" w:fill="auto"/>
        <w:ind w:firstLine="640"/>
        <w:outlineLvl w:val="1"/>
        <w:rPr>
          <w:rFonts w:ascii="黑体" w:hAnsi="黑体" w:eastAsia="黑体" w:cs="黑体"/>
          <w:szCs w:val="32"/>
        </w:rPr>
      </w:pPr>
      <w:bookmarkStart w:id="285" w:name="_Toc132276064"/>
      <w:r>
        <w:rPr>
          <w:rFonts w:hint="eastAsia" w:ascii="黑体" w:hAnsi="黑体" w:eastAsia="黑体" w:cs="黑体"/>
          <w:szCs w:val="32"/>
        </w:rPr>
        <w:t>【移交公益性用地】</w:t>
      </w:r>
      <w:bookmarkEnd w:id="285"/>
    </w:p>
    <w:p>
      <w:pPr>
        <w:ind w:firstLine="640"/>
      </w:pPr>
      <w:r>
        <w:rPr>
          <w:rFonts w:hint="eastAsia"/>
          <w:szCs w:val="32"/>
        </w:rPr>
        <w:t>国有土地上旧厂房采取不改变用地性质升级改造或改造为新型产业用地（M</w:t>
      </w:r>
      <w:r>
        <w:rPr>
          <w:szCs w:val="32"/>
        </w:rPr>
        <w:t>0</w:t>
      </w:r>
      <w:r>
        <w:rPr>
          <w:rFonts w:hint="eastAsia"/>
          <w:szCs w:val="32"/>
        </w:rPr>
        <w:t>）的</w:t>
      </w:r>
      <w:r>
        <w:rPr>
          <w:rFonts w:hint="eastAsia"/>
        </w:rPr>
        <w:t>，土地权属人应当按照国土空间详细规划将涉及的公益性用地用于城市基础设施、公共服务设施或其他公益性设施建设，建成后无偿移交政府指定部门。</w:t>
      </w:r>
    </w:p>
    <w:p>
      <w:pPr>
        <w:ind w:firstLine="640"/>
      </w:pPr>
      <w:r>
        <w:rPr>
          <w:rFonts w:hint="eastAsia"/>
        </w:rPr>
        <w:t>国有土地上旧厂房改造为商业服务业设施或保障性</w:t>
      </w:r>
      <w:r>
        <w:t>租赁住房</w:t>
      </w:r>
      <w:r>
        <w:rPr>
          <w:rFonts w:hint="eastAsia"/>
        </w:rPr>
        <w:t>的，土地权属人应当将不低于该项目用地面积的</w:t>
      </w:r>
      <w:r>
        <w:t>20</w:t>
      </w:r>
      <w:r>
        <w:rPr>
          <w:rFonts w:hint="eastAsia"/>
        </w:rPr>
        <w:t>%用地用于城市基础设施、公共服务设施或其他公益性设施建设，建成后无偿移交政府指定部门。移交的用地不需缴交土地出让金。</w:t>
      </w:r>
    </w:p>
    <w:p>
      <w:pPr>
        <w:ind w:firstLine="640"/>
      </w:pPr>
      <w:r>
        <w:rPr>
          <w:rFonts w:hint="eastAsia"/>
        </w:rPr>
        <w:t>根据国土空间详细规划，前款公益性用地面积不足</w:t>
      </w:r>
      <w:r>
        <w:t>20</w:t>
      </w:r>
      <w:r>
        <w:rPr>
          <w:rFonts w:hint="eastAsia"/>
        </w:rPr>
        <w:t>%的（不含国有土地上旧厂房改造为保障性</w:t>
      </w:r>
      <w:r>
        <w:t>租赁住房</w:t>
      </w:r>
      <w:r>
        <w:rPr>
          <w:rFonts w:hint="eastAsia"/>
        </w:rPr>
        <w:t>），将不足部分用地按政府批准的国土空间详细规划容积率（整宗用地平均净容积率）计算建筑面积，按办理土地有偿使用手续时整宗用地新规划用途市场评估地价缴交土地出让金。</w:t>
      </w:r>
    </w:p>
    <w:p>
      <w:pPr>
        <w:ind w:firstLine="640"/>
      </w:pPr>
      <w:r>
        <w:rPr>
          <w:rFonts w:hint="eastAsia"/>
        </w:rPr>
        <w:t>涉及市政道路的，经道路事权相应的市或区人民政府同意，可以由土地权属人拆平后无偿移交政府，规划或相关规定有更高要求的，从其规定。</w:t>
      </w:r>
    </w:p>
    <w:p>
      <w:pPr>
        <w:numPr>
          <w:ilvl w:val="0"/>
          <w:numId w:val="2"/>
        </w:numPr>
        <w:shd w:val="clear" w:color="auto" w:fill="auto"/>
        <w:ind w:firstLine="640"/>
        <w:outlineLvl w:val="1"/>
        <w:rPr>
          <w:rFonts w:ascii="黑体" w:hAnsi="黑体" w:eastAsia="黑体" w:cs="黑体"/>
          <w:szCs w:val="32"/>
        </w:rPr>
      </w:pPr>
      <w:bookmarkStart w:id="286" w:name="_Toc132030608"/>
      <w:bookmarkEnd w:id="286"/>
      <w:bookmarkStart w:id="287" w:name="_Toc132030721"/>
      <w:bookmarkEnd w:id="287"/>
      <w:bookmarkStart w:id="288" w:name="_Toc132030607"/>
      <w:bookmarkEnd w:id="288"/>
      <w:bookmarkStart w:id="289" w:name="_Toc132032262"/>
      <w:bookmarkEnd w:id="289"/>
      <w:bookmarkStart w:id="290" w:name="_Toc132031664"/>
      <w:bookmarkEnd w:id="290"/>
      <w:bookmarkStart w:id="291" w:name="_Toc132032261"/>
      <w:bookmarkEnd w:id="291"/>
      <w:bookmarkStart w:id="292" w:name="_Toc132030722"/>
      <w:bookmarkEnd w:id="292"/>
      <w:bookmarkStart w:id="293" w:name="_Toc132031667"/>
      <w:bookmarkEnd w:id="293"/>
      <w:bookmarkStart w:id="294" w:name="_Toc132030724"/>
      <w:bookmarkEnd w:id="294"/>
      <w:bookmarkStart w:id="295" w:name="_Toc132031896"/>
      <w:bookmarkEnd w:id="295"/>
      <w:bookmarkStart w:id="296" w:name="_Toc132031665"/>
      <w:bookmarkEnd w:id="296"/>
      <w:bookmarkStart w:id="297" w:name="_Toc132031899"/>
      <w:bookmarkEnd w:id="297"/>
      <w:bookmarkStart w:id="298" w:name="_Toc132031786"/>
      <w:bookmarkEnd w:id="298"/>
      <w:bookmarkStart w:id="299" w:name="_Toc132030611"/>
      <w:bookmarkEnd w:id="299"/>
      <w:bookmarkStart w:id="300" w:name="_Toc132031898"/>
      <w:bookmarkEnd w:id="300"/>
      <w:bookmarkStart w:id="301" w:name="_Toc132030494"/>
      <w:bookmarkEnd w:id="301"/>
      <w:bookmarkStart w:id="302" w:name="_Toc132030720"/>
      <w:bookmarkEnd w:id="302"/>
      <w:bookmarkStart w:id="303" w:name="_Toc132030609"/>
      <w:bookmarkEnd w:id="303"/>
      <w:bookmarkStart w:id="304" w:name="_Toc132031666"/>
      <w:bookmarkEnd w:id="304"/>
      <w:bookmarkStart w:id="305" w:name="_Toc132030723"/>
      <w:bookmarkEnd w:id="305"/>
      <w:bookmarkStart w:id="306" w:name="_Toc132030496"/>
      <w:bookmarkEnd w:id="306"/>
      <w:bookmarkStart w:id="307" w:name="_Toc132032263"/>
      <w:bookmarkEnd w:id="307"/>
      <w:bookmarkStart w:id="308" w:name="_Toc132031784"/>
      <w:bookmarkEnd w:id="308"/>
      <w:bookmarkStart w:id="309" w:name="_Toc132031783"/>
      <w:bookmarkEnd w:id="309"/>
      <w:bookmarkStart w:id="310" w:name="_Toc132031785"/>
      <w:bookmarkEnd w:id="310"/>
      <w:bookmarkStart w:id="311" w:name="_Toc132030497"/>
      <w:bookmarkEnd w:id="311"/>
      <w:bookmarkStart w:id="312" w:name="_Toc132031897"/>
      <w:bookmarkEnd w:id="312"/>
      <w:bookmarkStart w:id="313" w:name="_Toc132030610"/>
      <w:bookmarkEnd w:id="313"/>
      <w:bookmarkStart w:id="314" w:name="_Toc132032260"/>
      <w:bookmarkEnd w:id="314"/>
      <w:bookmarkStart w:id="315" w:name="_Toc132030495"/>
      <w:bookmarkEnd w:id="315"/>
      <w:bookmarkStart w:id="316" w:name="_Toc132030498"/>
      <w:bookmarkEnd w:id="316"/>
      <w:bookmarkStart w:id="317" w:name="_Toc132030726"/>
      <w:bookmarkEnd w:id="317"/>
      <w:bookmarkStart w:id="318" w:name="_Toc132032268"/>
      <w:bookmarkEnd w:id="318"/>
      <w:bookmarkStart w:id="319" w:name="_Toc132031670"/>
      <w:bookmarkEnd w:id="319"/>
      <w:bookmarkStart w:id="320" w:name="_Toc132032266"/>
      <w:bookmarkEnd w:id="320"/>
      <w:bookmarkStart w:id="321" w:name="_Toc132031900"/>
      <w:bookmarkEnd w:id="321"/>
      <w:bookmarkStart w:id="322" w:name="_Toc132030725"/>
      <w:bookmarkEnd w:id="322"/>
      <w:bookmarkStart w:id="323" w:name="_Toc132030502"/>
      <w:bookmarkEnd w:id="323"/>
      <w:bookmarkStart w:id="324" w:name="_Toc132031901"/>
      <w:bookmarkEnd w:id="324"/>
      <w:bookmarkStart w:id="325" w:name="_Toc132031902"/>
      <w:bookmarkEnd w:id="325"/>
      <w:bookmarkStart w:id="326" w:name="_Toc132030614"/>
      <w:bookmarkEnd w:id="326"/>
      <w:bookmarkStart w:id="327" w:name="_Toc132032267"/>
      <w:bookmarkEnd w:id="327"/>
      <w:bookmarkStart w:id="328" w:name="_Toc132031903"/>
      <w:bookmarkEnd w:id="328"/>
      <w:bookmarkStart w:id="329" w:name="_Toc132031788"/>
      <w:bookmarkEnd w:id="329"/>
      <w:bookmarkStart w:id="330" w:name="_Toc132030501"/>
      <w:bookmarkEnd w:id="330"/>
      <w:bookmarkStart w:id="331" w:name="_Toc132030612"/>
      <w:bookmarkEnd w:id="331"/>
      <w:bookmarkStart w:id="332" w:name="_Toc132031787"/>
      <w:bookmarkEnd w:id="332"/>
      <w:bookmarkStart w:id="333" w:name="_Toc132030613"/>
      <w:bookmarkEnd w:id="333"/>
      <w:bookmarkStart w:id="334" w:name="_Toc132031668"/>
      <w:bookmarkEnd w:id="334"/>
      <w:bookmarkStart w:id="335" w:name="_Toc132032264"/>
      <w:bookmarkEnd w:id="335"/>
      <w:bookmarkStart w:id="336" w:name="_Toc132030615"/>
      <w:bookmarkEnd w:id="336"/>
      <w:bookmarkStart w:id="337" w:name="_Toc132031789"/>
      <w:bookmarkEnd w:id="337"/>
      <w:bookmarkStart w:id="338" w:name="_Toc132030727"/>
      <w:bookmarkEnd w:id="338"/>
      <w:bookmarkStart w:id="339" w:name="_Toc132031790"/>
      <w:bookmarkEnd w:id="339"/>
      <w:bookmarkStart w:id="340" w:name="_Toc132032265"/>
      <w:bookmarkEnd w:id="340"/>
      <w:bookmarkStart w:id="341" w:name="_Toc132030500"/>
      <w:bookmarkEnd w:id="341"/>
      <w:bookmarkStart w:id="342" w:name="_Toc132030728"/>
      <w:bookmarkEnd w:id="342"/>
      <w:bookmarkStart w:id="343" w:name="_Toc132030499"/>
      <w:bookmarkEnd w:id="343"/>
      <w:bookmarkStart w:id="344" w:name="_Toc132031669"/>
      <w:bookmarkEnd w:id="344"/>
      <w:bookmarkStart w:id="345" w:name="_Toc132031672"/>
      <w:bookmarkEnd w:id="345"/>
      <w:bookmarkStart w:id="346" w:name="_Toc132031791"/>
      <w:bookmarkEnd w:id="346"/>
      <w:bookmarkStart w:id="347" w:name="_Toc132031904"/>
      <w:bookmarkEnd w:id="347"/>
      <w:bookmarkStart w:id="348" w:name="_Toc132031671"/>
      <w:bookmarkEnd w:id="348"/>
      <w:bookmarkStart w:id="349" w:name="_Toc132031907"/>
      <w:bookmarkEnd w:id="349"/>
      <w:bookmarkStart w:id="350" w:name="_Toc132030619"/>
      <w:bookmarkEnd w:id="350"/>
      <w:bookmarkStart w:id="351" w:name="_Toc132031908"/>
      <w:bookmarkEnd w:id="351"/>
      <w:bookmarkStart w:id="352" w:name="_Toc132031675"/>
      <w:bookmarkEnd w:id="352"/>
      <w:bookmarkStart w:id="353" w:name="_Toc132032272"/>
      <w:bookmarkEnd w:id="353"/>
      <w:bookmarkStart w:id="354" w:name="_Toc132031905"/>
      <w:bookmarkEnd w:id="354"/>
      <w:bookmarkStart w:id="355" w:name="_Toc132030504"/>
      <w:bookmarkEnd w:id="355"/>
      <w:bookmarkStart w:id="356" w:name="_Toc132032270"/>
      <w:bookmarkEnd w:id="356"/>
      <w:bookmarkStart w:id="357" w:name="_Toc132030505"/>
      <w:bookmarkEnd w:id="357"/>
      <w:bookmarkStart w:id="358" w:name="_Toc132031793"/>
      <w:bookmarkEnd w:id="358"/>
      <w:bookmarkStart w:id="359" w:name="_Toc132031906"/>
      <w:bookmarkEnd w:id="359"/>
      <w:bookmarkStart w:id="360" w:name="_Toc132031792"/>
      <w:bookmarkEnd w:id="360"/>
      <w:bookmarkStart w:id="361" w:name="_Toc132030618"/>
      <w:bookmarkEnd w:id="361"/>
      <w:bookmarkStart w:id="362" w:name="_Toc132032271"/>
      <w:bookmarkEnd w:id="362"/>
      <w:bookmarkStart w:id="363" w:name="_Toc132031676"/>
      <w:bookmarkEnd w:id="363"/>
      <w:bookmarkStart w:id="364" w:name="_Toc132030507"/>
      <w:bookmarkEnd w:id="364"/>
      <w:bookmarkStart w:id="365" w:name="_Toc132030620"/>
      <w:bookmarkEnd w:id="365"/>
      <w:bookmarkStart w:id="366" w:name="_Toc132030616"/>
      <w:bookmarkEnd w:id="366"/>
      <w:bookmarkStart w:id="367" w:name="_Toc132031673"/>
      <w:bookmarkEnd w:id="367"/>
      <w:bookmarkStart w:id="368" w:name="_Toc132030506"/>
      <w:bookmarkEnd w:id="368"/>
      <w:bookmarkStart w:id="369" w:name="_Toc132032269"/>
      <w:bookmarkEnd w:id="369"/>
      <w:bookmarkStart w:id="370" w:name="_Toc132030730"/>
      <w:bookmarkEnd w:id="370"/>
      <w:bookmarkStart w:id="371" w:name="_Toc132031674"/>
      <w:bookmarkEnd w:id="371"/>
      <w:bookmarkStart w:id="372" w:name="_Toc132031794"/>
      <w:bookmarkEnd w:id="372"/>
      <w:bookmarkStart w:id="373" w:name="_Toc132030732"/>
      <w:bookmarkEnd w:id="373"/>
      <w:bookmarkStart w:id="374" w:name="_Toc132031795"/>
      <w:bookmarkEnd w:id="374"/>
      <w:bookmarkStart w:id="375" w:name="_Toc132030503"/>
      <w:bookmarkEnd w:id="375"/>
      <w:bookmarkStart w:id="376" w:name="_Toc132030733"/>
      <w:bookmarkEnd w:id="376"/>
      <w:bookmarkStart w:id="377" w:name="_Toc132031677"/>
      <w:bookmarkEnd w:id="377"/>
      <w:bookmarkStart w:id="378" w:name="_Toc132030729"/>
      <w:bookmarkEnd w:id="378"/>
      <w:bookmarkStart w:id="379" w:name="_Toc132030731"/>
      <w:bookmarkEnd w:id="379"/>
      <w:bookmarkStart w:id="380" w:name="_Toc132030617"/>
      <w:bookmarkEnd w:id="380"/>
      <w:bookmarkStart w:id="381" w:name="_Toc132031799"/>
      <w:bookmarkEnd w:id="381"/>
      <w:bookmarkStart w:id="382" w:name="_Toc132031912"/>
      <w:bookmarkEnd w:id="382"/>
      <w:bookmarkStart w:id="383" w:name="_Toc132032276"/>
      <w:bookmarkEnd w:id="383"/>
      <w:bookmarkStart w:id="384" w:name="_Toc132030511"/>
      <w:bookmarkEnd w:id="384"/>
      <w:bookmarkStart w:id="385" w:name="_Toc132030622"/>
      <w:bookmarkEnd w:id="385"/>
      <w:bookmarkStart w:id="386" w:name="_Toc132032273"/>
      <w:bookmarkEnd w:id="386"/>
      <w:bookmarkStart w:id="387" w:name="_Toc132030624"/>
      <w:bookmarkEnd w:id="387"/>
      <w:bookmarkStart w:id="388" w:name="_Toc132030737"/>
      <w:bookmarkEnd w:id="388"/>
      <w:bookmarkStart w:id="389" w:name="_Toc132030734"/>
      <w:bookmarkEnd w:id="389"/>
      <w:bookmarkStart w:id="390" w:name="_Toc132031681"/>
      <w:bookmarkEnd w:id="390"/>
      <w:bookmarkStart w:id="391" w:name="_Toc132031800"/>
      <w:bookmarkEnd w:id="391"/>
      <w:bookmarkStart w:id="392" w:name="_Toc132031911"/>
      <w:bookmarkEnd w:id="392"/>
      <w:bookmarkStart w:id="393" w:name="_Toc132030508"/>
      <w:bookmarkEnd w:id="393"/>
      <w:bookmarkStart w:id="394" w:name="_Toc132030509"/>
      <w:bookmarkEnd w:id="394"/>
      <w:bookmarkStart w:id="395" w:name="_Toc132030735"/>
      <w:bookmarkEnd w:id="395"/>
      <w:bookmarkStart w:id="396" w:name="_Toc132031913"/>
      <w:bookmarkEnd w:id="396"/>
      <w:bookmarkStart w:id="397" w:name="_Toc132032277"/>
      <w:bookmarkEnd w:id="397"/>
      <w:bookmarkStart w:id="398" w:name="_Toc132030512"/>
      <w:bookmarkEnd w:id="398"/>
      <w:bookmarkStart w:id="399" w:name="_Toc132031797"/>
      <w:bookmarkEnd w:id="399"/>
      <w:bookmarkStart w:id="400" w:name="_Toc132031910"/>
      <w:bookmarkEnd w:id="400"/>
      <w:bookmarkStart w:id="401" w:name="_Toc132032274"/>
      <w:bookmarkEnd w:id="401"/>
      <w:bookmarkStart w:id="402" w:name="_Toc132030510"/>
      <w:bookmarkEnd w:id="402"/>
      <w:bookmarkStart w:id="403" w:name="_Toc132031679"/>
      <w:bookmarkEnd w:id="403"/>
      <w:bookmarkStart w:id="404" w:name="_Toc132031798"/>
      <w:bookmarkEnd w:id="404"/>
      <w:bookmarkStart w:id="405" w:name="_Toc132030623"/>
      <w:bookmarkEnd w:id="405"/>
      <w:bookmarkStart w:id="406" w:name="_Toc132032275"/>
      <w:bookmarkEnd w:id="406"/>
      <w:bookmarkStart w:id="407" w:name="_Toc132030621"/>
      <w:bookmarkEnd w:id="407"/>
      <w:bookmarkStart w:id="408" w:name="_Toc132031678"/>
      <w:bookmarkEnd w:id="408"/>
      <w:bookmarkStart w:id="409" w:name="_Toc132031909"/>
      <w:bookmarkEnd w:id="409"/>
      <w:bookmarkStart w:id="410" w:name="_Toc132031796"/>
      <w:bookmarkEnd w:id="410"/>
      <w:bookmarkStart w:id="411" w:name="_Toc132030736"/>
      <w:bookmarkEnd w:id="411"/>
      <w:bookmarkStart w:id="412" w:name="_Toc132031680"/>
      <w:bookmarkEnd w:id="412"/>
      <w:bookmarkStart w:id="413" w:name="_Toc132030739"/>
      <w:bookmarkEnd w:id="413"/>
      <w:bookmarkStart w:id="414" w:name="_Toc132030742"/>
      <w:bookmarkEnd w:id="414"/>
      <w:bookmarkStart w:id="415" w:name="_Toc132030513"/>
      <w:bookmarkEnd w:id="415"/>
      <w:bookmarkStart w:id="416" w:name="_Toc132030514"/>
      <w:bookmarkEnd w:id="416"/>
      <w:bookmarkStart w:id="417" w:name="_Toc132031685"/>
      <w:bookmarkEnd w:id="417"/>
      <w:bookmarkStart w:id="418" w:name="_Toc132030740"/>
      <w:bookmarkEnd w:id="418"/>
      <w:bookmarkStart w:id="419" w:name="_Toc132030625"/>
      <w:bookmarkEnd w:id="419"/>
      <w:bookmarkStart w:id="420" w:name="_Toc132032278"/>
      <w:bookmarkEnd w:id="420"/>
      <w:bookmarkStart w:id="421" w:name="_Toc132031802"/>
      <w:bookmarkEnd w:id="421"/>
      <w:bookmarkStart w:id="422" w:name="_Toc132031915"/>
      <w:bookmarkEnd w:id="422"/>
      <w:bookmarkStart w:id="423" w:name="_Toc132031804"/>
      <w:bookmarkEnd w:id="423"/>
      <w:bookmarkStart w:id="424" w:name="_Toc132030738"/>
      <w:bookmarkEnd w:id="424"/>
      <w:bookmarkStart w:id="425" w:name="_Toc132031682"/>
      <w:bookmarkEnd w:id="425"/>
      <w:bookmarkStart w:id="426" w:name="_Toc132030628"/>
      <w:bookmarkEnd w:id="426"/>
      <w:bookmarkStart w:id="427" w:name="_Toc132031684"/>
      <w:bookmarkEnd w:id="427"/>
      <w:bookmarkStart w:id="428" w:name="_Toc132031916"/>
      <w:bookmarkEnd w:id="428"/>
      <w:bookmarkStart w:id="429" w:name="_Toc132031683"/>
      <w:bookmarkEnd w:id="429"/>
      <w:bookmarkStart w:id="430" w:name="_Toc132031803"/>
      <w:bookmarkEnd w:id="430"/>
      <w:bookmarkStart w:id="431" w:name="_Toc132030741"/>
      <w:bookmarkEnd w:id="431"/>
      <w:bookmarkStart w:id="432" w:name="_Toc132031917"/>
      <w:bookmarkEnd w:id="432"/>
      <w:bookmarkStart w:id="433" w:name="_Toc132031801"/>
      <w:bookmarkEnd w:id="433"/>
      <w:bookmarkStart w:id="434" w:name="_Toc132030516"/>
      <w:bookmarkEnd w:id="434"/>
      <w:bookmarkStart w:id="435" w:name="_Toc132030629"/>
      <w:bookmarkEnd w:id="435"/>
      <w:bookmarkStart w:id="436" w:name="_Toc132030627"/>
      <w:bookmarkEnd w:id="436"/>
      <w:bookmarkStart w:id="437" w:name="_Toc132030515"/>
      <w:bookmarkEnd w:id="437"/>
      <w:bookmarkStart w:id="438" w:name="_Toc132031686"/>
      <w:bookmarkEnd w:id="438"/>
      <w:bookmarkStart w:id="439" w:name="_Toc132032280"/>
      <w:bookmarkEnd w:id="439"/>
      <w:bookmarkStart w:id="440" w:name="_Toc132031914"/>
      <w:bookmarkEnd w:id="440"/>
      <w:bookmarkStart w:id="441" w:name="_Toc132032279"/>
      <w:bookmarkEnd w:id="441"/>
      <w:bookmarkStart w:id="442" w:name="_Toc132031805"/>
      <w:bookmarkEnd w:id="442"/>
      <w:bookmarkStart w:id="443" w:name="_Toc132030626"/>
      <w:bookmarkEnd w:id="443"/>
      <w:bookmarkStart w:id="444" w:name="_Toc132032281"/>
      <w:bookmarkEnd w:id="444"/>
      <w:bookmarkStart w:id="445" w:name="_Toc132031918"/>
      <w:bookmarkEnd w:id="445"/>
      <w:bookmarkStart w:id="446" w:name="_Toc132031919"/>
      <w:bookmarkEnd w:id="446"/>
      <w:bookmarkStart w:id="447" w:name="_Toc132032283"/>
      <w:bookmarkEnd w:id="447"/>
      <w:bookmarkStart w:id="448" w:name="_Toc132030521"/>
      <w:bookmarkEnd w:id="448"/>
      <w:bookmarkStart w:id="449" w:name="_Toc132030633"/>
      <w:bookmarkEnd w:id="449"/>
      <w:bookmarkStart w:id="450" w:name="_Toc132032284"/>
      <w:bookmarkEnd w:id="450"/>
      <w:bookmarkStart w:id="451" w:name="_Toc132032282"/>
      <w:bookmarkEnd w:id="451"/>
      <w:bookmarkStart w:id="452" w:name="_Toc132030518"/>
      <w:bookmarkEnd w:id="452"/>
      <w:bookmarkStart w:id="453" w:name="_Toc132031687"/>
      <w:bookmarkEnd w:id="453"/>
      <w:bookmarkStart w:id="454" w:name="_Toc132030631"/>
      <w:bookmarkEnd w:id="454"/>
      <w:bookmarkStart w:id="455" w:name="_Toc132030744"/>
      <w:bookmarkEnd w:id="455"/>
      <w:bookmarkStart w:id="456" w:name="_Toc132031688"/>
      <w:bookmarkEnd w:id="456"/>
      <w:bookmarkStart w:id="457" w:name="_Toc132030519"/>
      <w:bookmarkEnd w:id="457"/>
      <w:bookmarkStart w:id="458" w:name="_Toc132030745"/>
      <w:bookmarkEnd w:id="458"/>
      <w:bookmarkStart w:id="459" w:name="_Toc132030520"/>
      <w:bookmarkEnd w:id="459"/>
      <w:bookmarkStart w:id="460" w:name="_Toc132030746"/>
      <w:bookmarkEnd w:id="460"/>
      <w:bookmarkStart w:id="461" w:name="_Toc132031922"/>
      <w:bookmarkEnd w:id="461"/>
      <w:bookmarkStart w:id="462" w:name="_Toc132030634"/>
      <w:bookmarkEnd w:id="462"/>
      <w:bookmarkStart w:id="463" w:name="_Toc132030517"/>
      <w:bookmarkEnd w:id="463"/>
      <w:bookmarkStart w:id="464" w:name="_Toc132031806"/>
      <w:bookmarkEnd w:id="464"/>
      <w:bookmarkStart w:id="465" w:name="_Toc132031808"/>
      <w:bookmarkEnd w:id="465"/>
      <w:bookmarkStart w:id="466" w:name="_Toc132030743"/>
      <w:bookmarkEnd w:id="466"/>
      <w:bookmarkStart w:id="467" w:name="_Toc132031921"/>
      <w:bookmarkEnd w:id="467"/>
      <w:bookmarkStart w:id="468" w:name="_Toc132032285"/>
      <w:bookmarkEnd w:id="468"/>
      <w:bookmarkStart w:id="469" w:name="_Toc132031690"/>
      <w:bookmarkEnd w:id="469"/>
      <w:bookmarkStart w:id="470" w:name="_Toc132031809"/>
      <w:bookmarkEnd w:id="470"/>
      <w:bookmarkStart w:id="471" w:name="_Toc132030632"/>
      <w:bookmarkEnd w:id="471"/>
      <w:bookmarkStart w:id="472" w:name="_Toc132031689"/>
      <w:bookmarkEnd w:id="472"/>
      <w:bookmarkStart w:id="473" w:name="_Toc132031920"/>
      <w:bookmarkEnd w:id="473"/>
      <w:bookmarkStart w:id="474" w:name="_Toc132031807"/>
      <w:bookmarkEnd w:id="474"/>
      <w:bookmarkStart w:id="475" w:name="_Toc132032286"/>
      <w:bookmarkEnd w:id="475"/>
      <w:bookmarkStart w:id="476" w:name="_Toc132030630"/>
      <w:bookmarkEnd w:id="476"/>
      <w:bookmarkStart w:id="477" w:name="_Toc132031924"/>
      <w:bookmarkEnd w:id="477"/>
      <w:bookmarkStart w:id="478" w:name="_Toc132032288"/>
      <w:bookmarkEnd w:id="478"/>
      <w:bookmarkStart w:id="479" w:name="_Toc132030748"/>
      <w:bookmarkEnd w:id="479"/>
      <w:bookmarkStart w:id="480" w:name="_Toc132030636"/>
      <w:bookmarkEnd w:id="480"/>
      <w:bookmarkStart w:id="481" w:name="_Toc132032289"/>
      <w:bookmarkEnd w:id="481"/>
      <w:bookmarkStart w:id="482" w:name="_Toc132030749"/>
      <w:bookmarkEnd w:id="482"/>
      <w:bookmarkStart w:id="483" w:name="_Toc132031693"/>
      <w:bookmarkEnd w:id="483"/>
      <w:bookmarkStart w:id="484" w:name="_Toc132032287"/>
      <w:bookmarkEnd w:id="484"/>
      <w:bookmarkStart w:id="485" w:name="_Toc132031811"/>
      <w:bookmarkEnd w:id="485"/>
      <w:bookmarkStart w:id="486" w:name="_Toc132030523"/>
      <w:bookmarkEnd w:id="486"/>
      <w:bookmarkStart w:id="487" w:name="_Toc132031812"/>
      <w:bookmarkEnd w:id="487"/>
      <w:bookmarkStart w:id="488" w:name="_Toc132030747"/>
      <w:bookmarkEnd w:id="488"/>
      <w:bookmarkStart w:id="489" w:name="_Toc132031810"/>
      <w:bookmarkEnd w:id="489"/>
      <w:bookmarkStart w:id="490" w:name="_Toc132031923"/>
      <w:bookmarkEnd w:id="490"/>
      <w:bookmarkStart w:id="491" w:name="_Toc132031925"/>
      <w:bookmarkEnd w:id="491"/>
      <w:bookmarkStart w:id="492" w:name="_Toc132031692"/>
      <w:bookmarkEnd w:id="492"/>
      <w:bookmarkStart w:id="493" w:name="_Toc132031691"/>
      <w:bookmarkEnd w:id="493"/>
      <w:bookmarkStart w:id="494" w:name="_Toc132030522"/>
      <w:bookmarkEnd w:id="494"/>
      <w:bookmarkStart w:id="495" w:name="_Toc132030635"/>
      <w:bookmarkEnd w:id="495"/>
      <w:bookmarkStart w:id="496" w:name="_Toc132276065"/>
      <w:r>
        <w:rPr>
          <w:rFonts w:hint="eastAsia" w:ascii="黑体" w:hAnsi="黑体" w:eastAsia="黑体" w:cs="黑体"/>
          <w:szCs w:val="32"/>
        </w:rPr>
        <w:t>【集体土地上旧厂房改造前提】</w:t>
      </w:r>
      <w:bookmarkEnd w:id="496"/>
    </w:p>
    <w:p>
      <w:pPr>
        <w:ind w:firstLine="640"/>
        <w:rPr>
          <w:szCs w:val="32"/>
        </w:rPr>
      </w:pPr>
      <w:r>
        <w:rPr>
          <w:rFonts w:hint="eastAsia"/>
          <w:szCs w:val="32"/>
        </w:rPr>
        <w:t>对于纳入近期及中期全面改造计划的旧村庄改造范围内的集体土地</w:t>
      </w:r>
      <w:r>
        <w:rPr>
          <w:szCs w:val="32"/>
        </w:rPr>
        <w:t>上</w:t>
      </w:r>
      <w:r>
        <w:rPr>
          <w:rFonts w:hint="eastAsia"/>
          <w:szCs w:val="32"/>
        </w:rPr>
        <w:t>旧厂房，应当纳入整村改造范围，按照旧村庄改造相关政策和要求执行。</w:t>
      </w:r>
    </w:p>
    <w:p>
      <w:pPr>
        <w:ind w:firstLine="640"/>
        <w:rPr>
          <w:szCs w:val="32"/>
        </w:rPr>
      </w:pPr>
      <w:r>
        <w:rPr>
          <w:rFonts w:hint="eastAsia"/>
          <w:szCs w:val="32"/>
        </w:rPr>
        <w:t>对于未纳入近期及中期全面改造计划的旧村庄改造范围内的集体土地</w:t>
      </w:r>
      <w:r>
        <w:rPr>
          <w:szCs w:val="32"/>
        </w:rPr>
        <w:t>上</w:t>
      </w:r>
      <w:r>
        <w:rPr>
          <w:rFonts w:hint="eastAsia"/>
          <w:szCs w:val="32"/>
        </w:rPr>
        <w:t>旧厂房，需进行拆除重建改造的，应当以不影响整村改造的经济平衡及实施为前提，先进行全村范围内的规划建设统筹，明确村集体复建安置用地、经济发展用地、公益设施配套用地和融资用地以及政府储备用地后，在不影响后续更新改造的情况下，可以允许集体土地</w:t>
      </w:r>
      <w:r>
        <w:rPr>
          <w:szCs w:val="32"/>
        </w:rPr>
        <w:t>上</w:t>
      </w:r>
      <w:r>
        <w:rPr>
          <w:rFonts w:hint="eastAsia"/>
          <w:szCs w:val="32"/>
        </w:rPr>
        <w:t>旧厂房先行改造，并同步进行整村整治。</w:t>
      </w:r>
    </w:p>
    <w:p>
      <w:pPr>
        <w:numPr>
          <w:ilvl w:val="0"/>
          <w:numId w:val="2"/>
        </w:numPr>
        <w:shd w:val="clear" w:color="auto" w:fill="auto"/>
        <w:ind w:firstLine="640"/>
        <w:outlineLvl w:val="1"/>
        <w:rPr>
          <w:rFonts w:ascii="黑体" w:hAnsi="黑体" w:eastAsia="黑体" w:cs="黑体"/>
          <w:szCs w:val="32"/>
        </w:rPr>
      </w:pPr>
      <w:bookmarkStart w:id="497" w:name="_Toc132276066"/>
      <w:r>
        <w:rPr>
          <w:rFonts w:hint="eastAsia" w:ascii="黑体" w:hAnsi="黑体" w:eastAsia="黑体" w:cs="黑体"/>
          <w:szCs w:val="32"/>
        </w:rPr>
        <w:t>【集体土地上旧厂房改造】</w:t>
      </w:r>
      <w:bookmarkEnd w:id="497"/>
    </w:p>
    <w:p>
      <w:pPr>
        <w:ind w:firstLine="640"/>
        <w:rPr>
          <w:szCs w:val="32"/>
        </w:rPr>
      </w:pPr>
      <w:r>
        <w:rPr>
          <w:rFonts w:hint="eastAsia"/>
          <w:szCs w:val="32"/>
        </w:rPr>
        <w:t>经市城市更新工作领导小组批准，用地面积不低于</w:t>
      </w:r>
      <w:r>
        <w:rPr>
          <w:szCs w:val="32"/>
        </w:rPr>
        <w:t>10公顷、村社同意由区人民政府统一公开招商、用于产业发展的成片连片集体</w:t>
      </w:r>
      <w:r>
        <w:rPr>
          <w:rFonts w:hint="eastAsia"/>
          <w:szCs w:val="32"/>
        </w:rPr>
        <w:t>土地</w:t>
      </w:r>
      <w:r>
        <w:rPr>
          <w:szCs w:val="32"/>
        </w:rPr>
        <w:t>上旧厂房、</w:t>
      </w:r>
      <w:r>
        <w:rPr>
          <w:rFonts w:hint="eastAsia"/>
          <w:szCs w:val="32"/>
        </w:rPr>
        <w:t>村镇工业集聚区</w:t>
      </w:r>
      <w:r>
        <w:rPr>
          <w:szCs w:val="32"/>
        </w:rPr>
        <w:t>改造项目，可</w:t>
      </w:r>
      <w:r>
        <w:rPr>
          <w:rFonts w:hint="eastAsia"/>
        </w:rPr>
        <w:t>以</w:t>
      </w:r>
      <w:r>
        <w:rPr>
          <w:szCs w:val="32"/>
        </w:rPr>
        <w:t>按照国土空间详细规划要求改造</w:t>
      </w:r>
      <w:r>
        <w:rPr>
          <w:rFonts w:hint="eastAsia"/>
          <w:szCs w:val="32"/>
        </w:rPr>
        <w:t>。鼓励将集体用地转为国有用地，参照国有土地上旧厂房政策实施改造。保留集体用地性质的，应当按照国土空间详细规划要求用作产业发展，不得进行商品住宅开发。</w:t>
      </w:r>
    </w:p>
    <w:p>
      <w:pPr>
        <w:ind w:firstLine="640"/>
        <w:rPr>
          <w:szCs w:val="32"/>
        </w:rPr>
      </w:pPr>
      <w:r>
        <w:rPr>
          <w:rFonts w:hint="eastAsia"/>
          <w:szCs w:val="32"/>
        </w:rPr>
        <w:t>经市城市更新工作领导小组批准，用地面积低于</w:t>
      </w:r>
      <w:r>
        <w:rPr>
          <w:szCs w:val="32"/>
        </w:rPr>
        <w:t>10公顷、不纳入旧村全面改造和微改造的集体</w:t>
      </w:r>
      <w:r>
        <w:rPr>
          <w:rFonts w:hint="eastAsia"/>
          <w:szCs w:val="32"/>
        </w:rPr>
        <w:t>土地</w:t>
      </w:r>
      <w:r>
        <w:rPr>
          <w:szCs w:val="32"/>
        </w:rPr>
        <w:t>上旧厂房、</w:t>
      </w:r>
      <w:r>
        <w:rPr>
          <w:rFonts w:hint="eastAsia"/>
          <w:szCs w:val="32"/>
        </w:rPr>
        <w:t>村镇工业集聚区</w:t>
      </w:r>
      <w:r>
        <w:rPr>
          <w:szCs w:val="32"/>
        </w:rPr>
        <w:t>改造项目，单独申请改造的，</w:t>
      </w:r>
      <w:r>
        <w:rPr>
          <w:rFonts w:hint="eastAsia"/>
          <w:szCs w:val="32"/>
        </w:rPr>
        <w:t>有合法用地手续的村集体建设用地，</w:t>
      </w:r>
      <w:r>
        <w:rPr>
          <w:szCs w:val="32"/>
        </w:rPr>
        <w:t>按</w:t>
      </w:r>
      <w:r>
        <w:rPr>
          <w:rFonts w:hint="eastAsia"/>
          <w:szCs w:val="32"/>
        </w:rPr>
        <w:t>照</w:t>
      </w:r>
      <w:r>
        <w:rPr>
          <w:szCs w:val="32"/>
        </w:rPr>
        <w:t>现状用地面积和毛容积率1.8计算权益建筑面积，由村集体经济组织按照国土空间详细规划要求实施改造。超过计算权益建筑面积部分的规划建筑面积，应按照4</w:t>
      </w:r>
      <w:r>
        <w:rPr>
          <w:rFonts w:hint="eastAsia"/>
          <w:szCs w:val="32"/>
        </w:rPr>
        <w:t>∶</w:t>
      </w:r>
      <w:r>
        <w:rPr>
          <w:szCs w:val="32"/>
        </w:rPr>
        <w:t>3</w:t>
      </w:r>
      <w:r>
        <w:rPr>
          <w:rFonts w:hint="eastAsia"/>
          <w:szCs w:val="32"/>
        </w:rPr>
        <w:t>∶</w:t>
      </w:r>
      <w:r>
        <w:rPr>
          <w:szCs w:val="32"/>
        </w:rPr>
        <w:t>3的比例，由市人民政府、区人民政府、村集体进行分配，其中市区分成建筑面积部分可参照</w:t>
      </w:r>
      <w:r>
        <w:rPr>
          <w:rFonts w:hint="eastAsia"/>
          <w:szCs w:val="32"/>
        </w:rPr>
        <w:t>整宗用地新规划用途市场评估国有用地地价</w:t>
      </w:r>
      <w:r>
        <w:rPr>
          <w:szCs w:val="32"/>
        </w:rPr>
        <w:t>折算货币</w:t>
      </w:r>
      <w:r>
        <w:rPr>
          <w:rFonts w:hint="eastAsia"/>
          <w:szCs w:val="32"/>
        </w:rPr>
        <w:t>。</w:t>
      </w:r>
    </w:p>
    <w:p>
      <w:pPr>
        <w:ind w:firstLine="640"/>
        <w:rPr>
          <w:szCs w:val="32"/>
        </w:rPr>
      </w:pPr>
      <w:r>
        <w:rPr>
          <w:rFonts w:hint="eastAsia"/>
          <w:szCs w:val="32"/>
        </w:rPr>
        <w:t>纳入村镇工业集聚区整治提升年度计划、用地面积低于</w:t>
      </w:r>
      <w:r>
        <w:rPr>
          <w:szCs w:val="32"/>
        </w:rPr>
        <w:t>10公顷、</w:t>
      </w:r>
      <w:r>
        <w:rPr>
          <w:rFonts w:hint="eastAsia"/>
          <w:szCs w:val="32"/>
        </w:rPr>
        <w:t>村镇工业集聚区不改变用地性质升级改造或改造为新型产业用地（M</w:t>
      </w:r>
      <w:r>
        <w:rPr>
          <w:szCs w:val="32"/>
        </w:rPr>
        <w:t>0</w:t>
      </w:r>
      <w:r>
        <w:rPr>
          <w:rFonts w:hint="eastAsia"/>
          <w:szCs w:val="32"/>
        </w:rPr>
        <w:t>）</w:t>
      </w:r>
      <w:r>
        <w:rPr>
          <w:szCs w:val="32"/>
        </w:rPr>
        <w:t>，有合法用地手续的村集体建设用地，可</w:t>
      </w:r>
      <w:r>
        <w:rPr>
          <w:rFonts w:hint="eastAsia"/>
        </w:rPr>
        <w:t>以</w:t>
      </w:r>
      <w:r>
        <w:rPr>
          <w:szCs w:val="32"/>
        </w:rPr>
        <w:t>按</w:t>
      </w:r>
      <w:r>
        <w:rPr>
          <w:rFonts w:hint="eastAsia"/>
          <w:szCs w:val="32"/>
        </w:rPr>
        <w:t>照详细</w:t>
      </w:r>
      <w:r>
        <w:rPr>
          <w:szCs w:val="32"/>
        </w:rPr>
        <w:t>规划实施改造。无须按现状用地面积和毛容积率计算权益面积</w:t>
      </w:r>
      <w:r>
        <w:rPr>
          <w:rFonts w:hint="eastAsia"/>
          <w:szCs w:val="32"/>
        </w:rPr>
        <w:t>与市、区人民政府进行分配</w:t>
      </w:r>
      <w:r>
        <w:rPr>
          <w:szCs w:val="32"/>
        </w:rPr>
        <w:t>。</w:t>
      </w:r>
    </w:p>
    <w:p>
      <w:pPr>
        <w:ind w:firstLine="640"/>
        <w:rPr>
          <w:szCs w:val="32"/>
        </w:rPr>
      </w:pPr>
      <w:r>
        <w:rPr>
          <w:szCs w:val="32"/>
        </w:rPr>
        <w:t>集体</w:t>
      </w:r>
      <w:r>
        <w:rPr>
          <w:rFonts w:hint="eastAsia"/>
          <w:szCs w:val="32"/>
        </w:rPr>
        <w:t>土地</w:t>
      </w:r>
      <w:r>
        <w:rPr>
          <w:szCs w:val="32"/>
        </w:rPr>
        <w:t>上旧厂房、</w:t>
      </w:r>
      <w:r>
        <w:rPr>
          <w:rFonts w:hint="eastAsia"/>
          <w:szCs w:val="32"/>
        </w:rPr>
        <w:t>村镇工业集聚区</w:t>
      </w:r>
      <w:r>
        <w:rPr>
          <w:szCs w:val="32"/>
        </w:rPr>
        <w:t>改造</w:t>
      </w:r>
      <w:r>
        <w:rPr>
          <w:rFonts w:hint="eastAsia"/>
          <w:szCs w:val="32"/>
        </w:rPr>
        <w:t>公益性用地移交参照本细则第十六条执行。</w:t>
      </w:r>
    </w:p>
    <w:p>
      <w:pPr>
        <w:numPr>
          <w:ilvl w:val="0"/>
          <w:numId w:val="2"/>
        </w:numPr>
        <w:shd w:val="clear" w:color="auto" w:fill="auto"/>
        <w:ind w:firstLineChars="0"/>
        <w:outlineLvl w:val="1"/>
        <w:rPr>
          <w:rFonts w:ascii="黑体" w:hAnsi="黑体" w:eastAsia="黑体" w:cs="黑体"/>
          <w:szCs w:val="32"/>
        </w:rPr>
      </w:pPr>
      <w:bookmarkStart w:id="498" w:name="_Hlk130413775"/>
      <w:r>
        <w:rPr>
          <w:rFonts w:hint="eastAsia" w:ascii="黑体" w:hAnsi="黑体" w:eastAsia="黑体" w:cs="黑体"/>
          <w:szCs w:val="32"/>
        </w:rPr>
        <w:t>【集体表决规定】</w:t>
      </w:r>
    </w:p>
    <w:p>
      <w:pPr>
        <w:ind w:firstLine="640"/>
        <w:rPr>
          <w:shd w:val="clear" w:color="auto" w:fill="FFFFFF"/>
        </w:rPr>
      </w:pPr>
      <w:r>
        <w:rPr>
          <w:rFonts w:hint="eastAsia"/>
          <w:szCs w:val="32"/>
        </w:rPr>
        <w:t>集体土地</w:t>
      </w:r>
      <w:r>
        <w:rPr>
          <w:szCs w:val="32"/>
        </w:rPr>
        <w:t>上</w:t>
      </w:r>
      <w:r>
        <w:rPr>
          <w:rFonts w:hint="eastAsia"/>
          <w:szCs w:val="32"/>
        </w:rPr>
        <w:t>旧厂房、村镇工业集聚区改造的改造意愿、项目实施方案、村集体建设用地转国有建设用地</w:t>
      </w:r>
      <w:r>
        <w:rPr>
          <w:rFonts w:hint="eastAsia"/>
          <w:shd w:val="clear" w:color="auto" w:fill="FFFFFF"/>
        </w:rPr>
        <w:t>需由村集体经济组织召开成员大会表决。村集体经济组织召开成员大会表决的，应当有该组织具有选举权的成员的半数以上参加，或者有本组织2/3以上的户的代表参加，所作决定应当经到会人员的2/3以上同意；取得授权由村集体经济组织召开成员代表会议表决的，应当有该组织2/3以上的成员代表参加，所作决定应当经该组织到会成员代表2/3以上同意。</w:t>
      </w:r>
    </w:p>
    <w:bookmarkEnd w:id="498"/>
    <w:p>
      <w:pPr>
        <w:numPr>
          <w:ilvl w:val="0"/>
          <w:numId w:val="2"/>
        </w:numPr>
        <w:shd w:val="clear" w:color="auto" w:fill="auto"/>
        <w:ind w:firstLine="640"/>
        <w:outlineLvl w:val="1"/>
        <w:rPr>
          <w:rFonts w:ascii="黑体" w:hAnsi="黑体" w:eastAsia="黑体" w:cs="黑体"/>
          <w:szCs w:val="32"/>
        </w:rPr>
      </w:pPr>
      <w:bookmarkStart w:id="499" w:name="_Toc132276067"/>
      <w:r>
        <w:rPr>
          <w:rFonts w:hint="eastAsia" w:ascii="黑体" w:hAnsi="黑体" w:eastAsia="黑体" w:cs="黑体"/>
          <w:szCs w:val="32"/>
        </w:rPr>
        <w:t>【集体土地完善转用手续】</w:t>
      </w:r>
      <w:bookmarkEnd w:id="499"/>
    </w:p>
    <w:p>
      <w:pPr>
        <w:ind w:firstLine="640"/>
        <w:rPr>
          <w:szCs w:val="32"/>
        </w:rPr>
      </w:pPr>
      <w:r>
        <w:rPr>
          <w:rFonts w:hint="eastAsia"/>
          <w:szCs w:val="32"/>
        </w:rPr>
        <w:t>集体土地</w:t>
      </w:r>
      <w:r>
        <w:rPr>
          <w:szCs w:val="32"/>
        </w:rPr>
        <w:t>上</w:t>
      </w:r>
      <w:r>
        <w:rPr>
          <w:rFonts w:hint="eastAsia"/>
          <w:szCs w:val="32"/>
        </w:rPr>
        <w:t>旧厂房、村镇工业集聚区改造涉及完善转用手续的，应将需完善手续部分用地面积扣除公建配套后的</w:t>
      </w:r>
      <w:r>
        <w:rPr>
          <w:szCs w:val="32"/>
        </w:rPr>
        <w:t>30%转为国有用地后无偿交给政府，</w:t>
      </w:r>
      <w:r>
        <w:rPr>
          <w:rFonts w:hint="eastAsia"/>
          <w:szCs w:val="32"/>
        </w:rPr>
        <w:t>村镇工业集聚区不改变用地性质升级改造或改造为新型产业用地（M0）涉及完善转用手续的，按</w:t>
      </w:r>
      <w:r>
        <w:rPr>
          <w:szCs w:val="32"/>
        </w:rPr>
        <w:t>20％移交，剩余用地由村集体经济组织按规划自主改造。若村社有留用地指标的，应</w:t>
      </w:r>
      <w:r>
        <w:rPr>
          <w:rFonts w:hint="eastAsia"/>
          <w:szCs w:val="32"/>
        </w:rPr>
        <w:t>当</w:t>
      </w:r>
      <w:r>
        <w:rPr>
          <w:szCs w:val="32"/>
        </w:rPr>
        <w:t>优先以留用地指标按1:1抵扣应交给政府的用地</w:t>
      </w:r>
      <w:r>
        <w:rPr>
          <w:rFonts w:hint="eastAsia"/>
          <w:szCs w:val="32"/>
        </w:rPr>
        <w:t>。</w:t>
      </w:r>
    </w:p>
    <w:p>
      <w:pPr>
        <w:ind w:firstLine="640"/>
        <w:rPr>
          <w:szCs w:val="32"/>
        </w:rPr>
      </w:pPr>
      <w:r>
        <w:rPr>
          <w:szCs w:val="32"/>
        </w:rPr>
        <w:t>如无偿交地后，剩余的用地无法按照规划独立改造的，</w:t>
      </w:r>
      <w:r>
        <w:rPr>
          <w:rFonts w:hint="eastAsia"/>
          <w:szCs w:val="32"/>
        </w:rPr>
        <w:t>应当移交用地</w:t>
      </w:r>
      <w:r>
        <w:rPr>
          <w:szCs w:val="32"/>
        </w:rPr>
        <w:t>按办理土地有偿使用手续时整宗用地新规划用途市场评估地价折算货币，交由区人民政府统筹用于周边基础设施建设。</w:t>
      </w:r>
    </w:p>
    <w:p>
      <w:pPr>
        <w:numPr>
          <w:ilvl w:val="0"/>
          <w:numId w:val="2"/>
        </w:numPr>
        <w:shd w:val="clear" w:color="auto" w:fill="auto"/>
        <w:ind w:firstLine="640"/>
        <w:outlineLvl w:val="1"/>
        <w:rPr>
          <w:rFonts w:ascii="黑体" w:hAnsi="黑体" w:eastAsia="黑体" w:cs="黑体"/>
          <w:szCs w:val="32"/>
        </w:rPr>
      </w:pPr>
      <w:bookmarkStart w:id="500" w:name="_Toc132031816"/>
      <w:bookmarkEnd w:id="500"/>
      <w:bookmarkStart w:id="501" w:name="_Toc132031697"/>
      <w:bookmarkEnd w:id="501"/>
      <w:bookmarkStart w:id="502" w:name="_Toc132030753"/>
      <w:bookmarkEnd w:id="502"/>
      <w:bookmarkStart w:id="503" w:name="_Toc132032293"/>
      <w:bookmarkEnd w:id="503"/>
      <w:bookmarkStart w:id="504" w:name="_Toc132031929"/>
      <w:bookmarkEnd w:id="504"/>
      <w:bookmarkStart w:id="505" w:name="_Toc132030640"/>
      <w:bookmarkEnd w:id="505"/>
      <w:bookmarkStart w:id="506" w:name="_Toc132030527"/>
      <w:bookmarkEnd w:id="506"/>
      <w:bookmarkStart w:id="507" w:name="_Toc132276068"/>
      <w:r>
        <w:rPr>
          <w:rFonts w:hint="eastAsia" w:ascii="黑体" w:hAnsi="黑体" w:eastAsia="黑体" w:cs="黑体"/>
          <w:szCs w:val="32"/>
        </w:rPr>
        <w:t>【完善征收手续】</w:t>
      </w:r>
      <w:bookmarkEnd w:id="507"/>
    </w:p>
    <w:p>
      <w:pPr>
        <w:ind w:firstLine="640"/>
      </w:pPr>
      <w:r>
        <w:rPr>
          <w:rFonts w:hint="eastAsia"/>
        </w:rPr>
        <w:t>旧厂房</w:t>
      </w:r>
      <w:r>
        <w:rPr>
          <w:rFonts w:hint="eastAsia"/>
          <w:szCs w:val="32"/>
        </w:rPr>
        <w:t>不改变用地性质实施</w:t>
      </w:r>
      <w:r>
        <w:rPr>
          <w:rFonts w:hint="eastAsia"/>
        </w:rPr>
        <w:t>微改造，需完善历史用地征收手续的，应满足以下要求：</w:t>
      </w:r>
    </w:p>
    <w:p>
      <w:pPr>
        <w:ind w:firstLine="640"/>
      </w:pPr>
      <w:r>
        <w:rPr>
          <w:rFonts w:hint="eastAsia"/>
        </w:rPr>
        <w:t>（一）实施改造的建筑面积占比应不低于</w:t>
      </w:r>
      <w:r>
        <w:t>5%</w:t>
      </w:r>
      <w:r>
        <w:rPr>
          <w:rFonts w:hint="eastAsia"/>
        </w:rPr>
        <w:t>，不超过15%；</w:t>
      </w:r>
    </w:p>
    <w:p>
      <w:pPr>
        <w:ind w:firstLine="640"/>
      </w:pPr>
      <w:r>
        <w:rPr>
          <w:rFonts w:hint="eastAsia"/>
        </w:rPr>
        <w:t>（二）改造工程概算不少于预定指标；</w:t>
      </w:r>
    </w:p>
    <w:p>
      <w:pPr>
        <w:ind w:firstLine="640"/>
      </w:pPr>
      <w:r>
        <w:rPr>
          <w:rFonts w:hint="eastAsia"/>
        </w:rPr>
        <w:t>（三）改造地块不涉及近期重点项目；</w:t>
      </w:r>
    </w:p>
    <w:p>
      <w:pPr>
        <w:ind w:firstLine="640"/>
      </w:pPr>
      <w:r>
        <w:rPr>
          <w:rFonts w:hint="eastAsia"/>
        </w:rPr>
        <w:t>（四）未纳入近5年成片连片改造计划或整村改造计划以及土地储备计划；</w:t>
      </w:r>
    </w:p>
    <w:p>
      <w:pPr>
        <w:ind w:firstLine="640"/>
      </w:pPr>
      <w:r>
        <w:rPr>
          <w:rFonts w:hint="eastAsia"/>
        </w:rPr>
        <w:t>（五）土地、建筑物权属无争议。</w:t>
      </w:r>
    </w:p>
    <w:p>
      <w:pPr>
        <w:numPr>
          <w:ilvl w:val="0"/>
          <w:numId w:val="2"/>
        </w:numPr>
        <w:shd w:val="clear" w:color="auto" w:fill="auto"/>
        <w:ind w:firstLine="640"/>
        <w:outlineLvl w:val="1"/>
        <w:rPr>
          <w:rFonts w:ascii="黑体" w:hAnsi="黑体" w:eastAsia="黑体" w:cs="黑体"/>
          <w:szCs w:val="32"/>
        </w:rPr>
      </w:pPr>
      <w:bookmarkStart w:id="508" w:name="_Toc132276069"/>
      <w:r>
        <w:rPr>
          <w:rFonts w:hint="eastAsia" w:ascii="黑体" w:hAnsi="黑体" w:eastAsia="黑体" w:cs="黑体"/>
          <w:szCs w:val="32"/>
        </w:rPr>
        <w:t>【集转国土地出让金缴纳标准】</w:t>
      </w:r>
      <w:bookmarkEnd w:id="508"/>
    </w:p>
    <w:p>
      <w:pPr>
        <w:ind w:firstLine="640"/>
        <w:rPr>
          <w:szCs w:val="32"/>
        </w:rPr>
      </w:pPr>
      <w:r>
        <w:rPr>
          <w:rFonts w:hint="eastAsia"/>
          <w:szCs w:val="32"/>
        </w:rPr>
        <w:t>对于申请转为国有土地的集体土地上旧厂房用地（村镇工业集聚区），并以协议方式供地的，纳入旧村全面改造的，按照规划用途市场评估价的</w:t>
      </w:r>
      <w:r>
        <w:rPr>
          <w:szCs w:val="32"/>
        </w:rPr>
        <w:t>20</w:t>
      </w:r>
      <w:r>
        <w:rPr>
          <w:rFonts w:hint="eastAsia"/>
          <w:szCs w:val="32"/>
        </w:rPr>
        <w:t>％缴纳土地出让金；纳入旧村微改造的，按照规划用途市场评估价的</w:t>
      </w:r>
      <w:r>
        <w:rPr>
          <w:szCs w:val="32"/>
        </w:rPr>
        <w:t>30</w:t>
      </w:r>
      <w:r>
        <w:rPr>
          <w:rFonts w:hint="eastAsia"/>
          <w:szCs w:val="32"/>
        </w:rPr>
        <w:t>％缴纳土地出让金；其余的按照规划用途市场评估价的</w:t>
      </w:r>
      <w:r>
        <w:rPr>
          <w:szCs w:val="32"/>
        </w:rPr>
        <w:t>40</w:t>
      </w:r>
      <w:r>
        <w:rPr>
          <w:rFonts w:hint="eastAsia"/>
          <w:szCs w:val="32"/>
        </w:rPr>
        <w:t>％缴纳土地出让金。</w:t>
      </w:r>
    </w:p>
    <w:p>
      <w:pPr>
        <w:numPr>
          <w:ilvl w:val="0"/>
          <w:numId w:val="2"/>
        </w:numPr>
        <w:shd w:val="clear" w:color="auto" w:fill="auto"/>
        <w:ind w:firstLine="640"/>
        <w:outlineLvl w:val="1"/>
        <w:rPr>
          <w:rFonts w:ascii="黑体" w:hAnsi="黑体" w:eastAsia="黑体" w:cs="黑体"/>
          <w:szCs w:val="32"/>
        </w:rPr>
      </w:pPr>
      <w:bookmarkStart w:id="509" w:name="_Toc132030648"/>
      <w:bookmarkEnd w:id="509"/>
      <w:bookmarkStart w:id="510" w:name="_Toc132030536"/>
      <w:bookmarkEnd w:id="510"/>
      <w:bookmarkStart w:id="511" w:name="_Toc132032298"/>
      <w:bookmarkEnd w:id="511"/>
      <w:bookmarkStart w:id="512" w:name="_Toc132031934"/>
      <w:bookmarkEnd w:id="512"/>
      <w:bookmarkStart w:id="513" w:name="_Toc132031933"/>
      <w:bookmarkEnd w:id="513"/>
      <w:bookmarkStart w:id="514" w:name="_Toc132030643"/>
      <w:bookmarkEnd w:id="514"/>
      <w:bookmarkStart w:id="515" w:name="_Toc132030757"/>
      <w:bookmarkEnd w:id="515"/>
      <w:bookmarkStart w:id="516" w:name="_Toc132030644"/>
      <w:bookmarkEnd w:id="516"/>
      <w:bookmarkStart w:id="517" w:name="_Toc132031700"/>
      <w:bookmarkEnd w:id="517"/>
      <w:bookmarkStart w:id="518" w:name="_Toc132030756"/>
      <w:bookmarkEnd w:id="518"/>
      <w:bookmarkStart w:id="519" w:name="_Toc132031932"/>
      <w:bookmarkEnd w:id="519"/>
      <w:bookmarkStart w:id="520" w:name="_Toc132031819"/>
      <w:bookmarkEnd w:id="520"/>
      <w:bookmarkStart w:id="521" w:name="_Toc132032296"/>
      <w:bookmarkEnd w:id="521"/>
      <w:bookmarkStart w:id="522" w:name="_Toc132030531"/>
      <w:bookmarkEnd w:id="522"/>
      <w:bookmarkStart w:id="523" w:name="_Toc132030530"/>
      <w:bookmarkEnd w:id="523"/>
      <w:bookmarkStart w:id="524" w:name="_Toc132031820"/>
      <w:bookmarkEnd w:id="524"/>
      <w:bookmarkStart w:id="525" w:name="_Toc132031701"/>
      <w:bookmarkEnd w:id="525"/>
      <w:bookmarkStart w:id="526" w:name="_Toc132030649"/>
      <w:bookmarkEnd w:id="526"/>
      <w:bookmarkStart w:id="527" w:name="_Toc132032297"/>
      <w:bookmarkEnd w:id="527"/>
      <w:bookmarkStart w:id="528" w:name="_Toc132030533"/>
      <w:bookmarkEnd w:id="528"/>
      <w:bookmarkStart w:id="529" w:name="_Toc132031702"/>
      <w:bookmarkEnd w:id="529"/>
      <w:bookmarkStart w:id="530" w:name="_Toc132030646"/>
      <w:bookmarkEnd w:id="530"/>
      <w:bookmarkStart w:id="531" w:name="_Toc132030759"/>
      <w:bookmarkEnd w:id="531"/>
      <w:bookmarkStart w:id="532" w:name="_Toc132031703"/>
      <w:bookmarkEnd w:id="532"/>
      <w:bookmarkStart w:id="533" w:name="_Toc132031935"/>
      <w:bookmarkEnd w:id="533"/>
      <w:bookmarkStart w:id="534" w:name="_Toc132030534"/>
      <w:bookmarkEnd w:id="534"/>
      <w:bookmarkStart w:id="535" w:name="_Toc132030760"/>
      <w:bookmarkEnd w:id="535"/>
      <w:bookmarkStart w:id="536" w:name="_Toc132030535"/>
      <w:bookmarkEnd w:id="536"/>
      <w:bookmarkStart w:id="537" w:name="_Toc132030761"/>
      <w:bookmarkEnd w:id="537"/>
      <w:bookmarkStart w:id="538" w:name="_Toc132031937"/>
      <w:bookmarkEnd w:id="538"/>
      <w:bookmarkStart w:id="539" w:name="_Toc132030532"/>
      <w:bookmarkEnd w:id="539"/>
      <w:bookmarkStart w:id="540" w:name="_Toc132031821"/>
      <w:bookmarkEnd w:id="540"/>
      <w:bookmarkStart w:id="541" w:name="_Toc132031823"/>
      <w:bookmarkEnd w:id="541"/>
      <w:bookmarkStart w:id="542" w:name="_Toc132030758"/>
      <w:bookmarkEnd w:id="542"/>
      <w:bookmarkStart w:id="543" w:name="_Toc132031936"/>
      <w:bookmarkEnd w:id="543"/>
      <w:bookmarkStart w:id="544" w:name="_Toc132032300"/>
      <w:bookmarkEnd w:id="544"/>
      <w:bookmarkStart w:id="545" w:name="_Toc132031705"/>
      <w:bookmarkEnd w:id="545"/>
      <w:bookmarkStart w:id="546" w:name="_Toc132031824"/>
      <w:bookmarkEnd w:id="546"/>
      <w:bookmarkStart w:id="547" w:name="_Toc132030647"/>
      <w:bookmarkEnd w:id="547"/>
      <w:bookmarkStart w:id="548" w:name="_Toc132031822"/>
      <w:bookmarkEnd w:id="548"/>
      <w:bookmarkStart w:id="549" w:name="_Toc132032299"/>
      <w:bookmarkEnd w:id="549"/>
      <w:bookmarkStart w:id="550" w:name="_Toc132031704"/>
      <w:bookmarkEnd w:id="550"/>
      <w:bookmarkStart w:id="551" w:name="_Toc132032301"/>
      <w:bookmarkEnd w:id="551"/>
      <w:bookmarkStart w:id="552" w:name="_Toc132030645"/>
      <w:bookmarkEnd w:id="552"/>
      <w:bookmarkStart w:id="553" w:name="_Toc132031939"/>
      <w:bookmarkEnd w:id="553"/>
      <w:bookmarkStart w:id="554" w:name="_Toc132030539"/>
      <w:bookmarkEnd w:id="554"/>
      <w:bookmarkStart w:id="555" w:name="_Toc132030652"/>
      <w:bookmarkEnd w:id="555"/>
      <w:bookmarkStart w:id="556" w:name="_Toc132030763"/>
      <w:bookmarkEnd w:id="556"/>
      <w:bookmarkStart w:id="557" w:name="_Toc132030538"/>
      <w:bookmarkEnd w:id="557"/>
      <w:bookmarkStart w:id="558" w:name="_Toc132031709"/>
      <w:bookmarkEnd w:id="558"/>
      <w:bookmarkStart w:id="559" w:name="_Toc132031828"/>
      <w:bookmarkEnd w:id="559"/>
      <w:bookmarkStart w:id="560" w:name="_Toc132031941"/>
      <w:bookmarkEnd w:id="560"/>
      <w:bookmarkStart w:id="561" w:name="_Toc132030540"/>
      <w:bookmarkEnd w:id="561"/>
      <w:bookmarkStart w:id="562" w:name="_Toc132032303"/>
      <w:bookmarkEnd w:id="562"/>
      <w:bookmarkStart w:id="563" w:name="_Toc132030651"/>
      <w:bookmarkEnd w:id="563"/>
      <w:bookmarkStart w:id="564" w:name="_Toc132030764"/>
      <w:bookmarkEnd w:id="564"/>
      <w:bookmarkStart w:id="565" w:name="_Toc132030653"/>
      <w:bookmarkEnd w:id="565"/>
      <w:bookmarkStart w:id="566" w:name="_Toc132031827"/>
      <w:bookmarkEnd w:id="566"/>
      <w:bookmarkStart w:id="567" w:name="_Toc132030766"/>
      <w:bookmarkEnd w:id="567"/>
      <w:bookmarkStart w:id="568" w:name="_Toc132032305"/>
      <w:bookmarkEnd w:id="568"/>
      <w:bookmarkStart w:id="569" w:name="_Toc132031942"/>
      <w:bookmarkEnd w:id="569"/>
      <w:bookmarkStart w:id="570" w:name="_Toc132030765"/>
      <w:bookmarkEnd w:id="570"/>
      <w:bookmarkStart w:id="571" w:name="_Toc132032302"/>
      <w:bookmarkEnd w:id="571"/>
      <w:bookmarkStart w:id="572" w:name="_Toc132031826"/>
      <w:bookmarkEnd w:id="572"/>
      <w:bookmarkStart w:id="573" w:name="_Toc132031710"/>
      <w:bookmarkEnd w:id="573"/>
      <w:bookmarkStart w:id="574" w:name="_Toc132031829"/>
      <w:bookmarkEnd w:id="574"/>
      <w:bookmarkStart w:id="575" w:name="_Toc132030762"/>
      <w:bookmarkEnd w:id="575"/>
      <w:bookmarkStart w:id="576" w:name="_Toc132031708"/>
      <w:bookmarkEnd w:id="576"/>
      <w:bookmarkStart w:id="577" w:name="_Toc132031940"/>
      <w:bookmarkEnd w:id="577"/>
      <w:bookmarkStart w:id="578" w:name="_Toc132031825"/>
      <w:bookmarkEnd w:id="578"/>
      <w:bookmarkStart w:id="579" w:name="_Toc132031938"/>
      <w:bookmarkEnd w:id="579"/>
      <w:bookmarkStart w:id="580" w:name="_Toc132032304"/>
      <w:bookmarkEnd w:id="580"/>
      <w:bookmarkStart w:id="581" w:name="_Toc132031707"/>
      <w:bookmarkEnd w:id="581"/>
      <w:bookmarkStart w:id="582" w:name="_Toc132031706"/>
      <w:bookmarkEnd w:id="582"/>
      <w:bookmarkStart w:id="583" w:name="_Toc132030537"/>
      <w:bookmarkEnd w:id="583"/>
      <w:bookmarkStart w:id="584" w:name="_Toc132030650"/>
      <w:bookmarkEnd w:id="584"/>
      <w:bookmarkStart w:id="585" w:name="_Toc132030657"/>
      <w:bookmarkEnd w:id="585"/>
      <w:bookmarkStart w:id="586" w:name="_Toc132031830"/>
      <w:bookmarkEnd w:id="586"/>
      <w:bookmarkStart w:id="587" w:name="_Toc132032306"/>
      <w:bookmarkEnd w:id="587"/>
      <w:bookmarkStart w:id="588" w:name="_Toc132032308"/>
      <w:bookmarkEnd w:id="588"/>
      <w:bookmarkStart w:id="589" w:name="_Toc132030656"/>
      <w:bookmarkEnd w:id="589"/>
      <w:bookmarkStart w:id="590" w:name="_Toc132030770"/>
      <w:bookmarkEnd w:id="590"/>
      <w:bookmarkStart w:id="591" w:name="_Toc132031714"/>
      <w:bookmarkEnd w:id="591"/>
      <w:bookmarkStart w:id="592" w:name="_Toc132031833"/>
      <w:bookmarkEnd w:id="592"/>
      <w:bookmarkStart w:id="593" w:name="_Toc132030655"/>
      <w:bookmarkEnd w:id="593"/>
      <w:bookmarkStart w:id="594" w:name="_Toc132031713"/>
      <w:bookmarkEnd w:id="594"/>
      <w:bookmarkStart w:id="595" w:name="_Toc132030768"/>
      <w:bookmarkEnd w:id="595"/>
      <w:bookmarkStart w:id="596" w:name="_Toc132031943"/>
      <w:bookmarkEnd w:id="596"/>
      <w:bookmarkStart w:id="597" w:name="_Toc132031946"/>
      <w:bookmarkEnd w:id="597"/>
      <w:bookmarkStart w:id="598" w:name="_Toc132032310"/>
      <w:bookmarkEnd w:id="598"/>
      <w:bookmarkStart w:id="599" w:name="_Toc132030545"/>
      <w:bookmarkEnd w:id="599"/>
      <w:bookmarkStart w:id="600" w:name="_Toc132031944"/>
      <w:bookmarkEnd w:id="600"/>
      <w:bookmarkStart w:id="601" w:name="_Toc132030543"/>
      <w:bookmarkEnd w:id="601"/>
      <w:bookmarkStart w:id="602" w:name="_Toc132030658"/>
      <w:bookmarkEnd w:id="602"/>
      <w:bookmarkStart w:id="603" w:name="_Toc132030771"/>
      <w:bookmarkEnd w:id="603"/>
      <w:bookmarkStart w:id="604" w:name="_Toc132030654"/>
      <w:bookmarkEnd w:id="604"/>
      <w:bookmarkStart w:id="605" w:name="_Toc132031831"/>
      <w:bookmarkEnd w:id="605"/>
      <w:bookmarkStart w:id="606" w:name="_Toc132032309"/>
      <w:bookmarkEnd w:id="606"/>
      <w:bookmarkStart w:id="607" w:name="_Toc132032307"/>
      <w:bookmarkEnd w:id="607"/>
      <w:bookmarkStart w:id="608" w:name="_Toc132030541"/>
      <w:bookmarkEnd w:id="608"/>
      <w:bookmarkStart w:id="609" w:name="_Toc132030542"/>
      <w:bookmarkEnd w:id="609"/>
      <w:bookmarkStart w:id="610" w:name="_Toc132030767"/>
      <w:bookmarkEnd w:id="610"/>
      <w:bookmarkStart w:id="611" w:name="_Toc132031712"/>
      <w:bookmarkEnd w:id="611"/>
      <w:bookmarkStart w:id="612" w:name="_Toc132031711"/>
      <w:bookmarkEnd w:id="612"/>
      <w:bookmarkStart w:id="613" w:name="_Toc132030769"/>
      <w:bookmarkEnd w:id="613"/>
      <w:bookmarkStart w:id="614" w:name="_Toc132031832"/>
      <w:bookmarkEnd w:id="614"/>
      <w:bookmarkStart w:id="615" w:name="_Toc132031945"/>
      <w:bookmarkEnd w:id="615"/>
      <w:bookmarkStart w:id="616" w:name="_Toc132030544"/>
      <w:bookmarkEnd w:id="616"/>
      <w:bookmarkStart w:id="617" w:name="_Toc132031715"/>
      <w:bookmarkEnd w:id="617"/>
      <w:bookmarkStart w:id="618" w:name="_Toc132031948"/>
      <w:bookmarkEnd w:id="618"/>
      <w:bookmarkStart w:id="619" w:name="_Toc132032311"/>
      <w:bookmarkEnd w:id="619"/>
      <w:bookmarkStart w:id="620" w:name="_Toc132031716"/>
      <w:bookmarkEnd w:id="620"/>
      <w:bookmarkStart w:id="621" w:name="_Toc132032312"/>
      <w:bookmarkEnd w:id="621"/>
      <w:bookmarkStart w:id="622" w:name="_Toc132030547"/>
      <w:bookmarkEnd w:id="622"/>
      <w:bookmarkStart w:id="623" w:name="_Toc132030773"/>
      <w:bookmarkEnd w:id="623"/>
      <w:bookmarkStart w:id="624" w:name="_Toc132030659"/>
      <w:bookmarkEnd w:id="624"/>
      <w:bookmarkStart w:id="625" w:name="_Toc132031717"/>
      <w:bookmarkEnd w:id="625"/>
      <w:bookmarkStart w:id="626" w:name="_Toc132031949"/>
      <w:bookmarkEnd w:id="626"/>
      <w:bookmarkStart w:id="627" w:name="_Toc132030772"/>
      <w:bookmarkEnd w:id="627"/>
      <w:bookmarkStart w:id="628" w:name="_Toc132031835"/>
      <w:bookmarkEnd w:id="628"/>
      <w:bookmarkStart w:id="629" w:name="_Toc132031836"/>
      <w:bookmarkEnd w:id="629"/>
      <w:bookmarkStart w:id="630" w:name="_Toc132031834"/>
      <w:bookmarkEnd w:id="630"/>
      <w:bookmarkStart w:id="631" w:name="_Toc132030660"/>
      <w:bookmarkEnd w:id="631"/>
      <w:bookmarkStart w:id="632" w:name="_Toc132032313"/>
      <w:bookmarkEnd w:id="632"/>
      <w:bookmarkStart w:id="633" w:name="_Toc132031947"/>
      <w:bookmarkEnd w:id="633"/>
      <w:bookmarkStart w:id="634" w:name="_Toc132030546"/>
      <w:bookmarkEnd w:id="634"/>
      <w:bookmarkStart w:id="635" w:name="_Toc132276070"/>
      <w:r>
        <w:rPr>
          <w:rFonts w:hint="eastAsia" w:ascii="黑体" w:hAnsi="黑体" w:eastAsia="黑体" w:cs="黑体"/>
          <w:szCs w:val="32"/>
        </w:rPr>
        <w:t>【旧厂房改变功能】</w:t>
      </w:r>
      <w:bookmarkEnd w:id="635"/>
    </w:p>
    <w:p>
      <w:pPr>
        <w:ind w:firstLine="640"/>
        <w:rPr>
          <w:szCs w:val="32"/>
        </w:rPr>
      </w:pPr>
      <w:r>
        <w:rPr>
          <w:rFonts w:hint="eastAsia"/>
          <w:szCs w:val="32"/>
        </w:rPr>
        <w:t>旧厂房改变功能是指旧厂房保留建筑物的原主体结构，按照产业布局规划，优先满足增加公共空间和产业转型升级的需要，改变部分或者全部建筑物使用功能，但不改变土地使用权的权利主体和使用期限的改造方式。</w:t>
      </w:r>
    </w:p>
    <w:p>
      <w:pPr>
        <w:ind w:firstLine="640"/>
      </w:pPr>
      <w:r>
        <w:rPr>
          <w:rFonts w:hint="eastAsia" w:ascii="仿宋_GB2312" w:hAnsi="黑体" w:cs="黑体"/>
          <w:szCs w:val="32"/>
        </w:rPr>
        <w:t>旧厂房改变功能符合详细规划的，</w:t>
      </w:r>
      <w:r>
        <w:rPr>
          <w:rFonts w:hint="eastAsia"/>
          <w:szCs w:val="32"/>
        </w:rPr>
        <w:t>由改造主体按程序报批实施方案。不符合详细规划的，按程序调整详细规划；涉及</w:t>
      </w:r>
      <w:r>
        <w:rPr>
          <w:rFonts w:hint="eastAsia"/>
        </w:rPr>
        <w:t>利用工业产业区块外国有土地上的旧厂房进行制造业与文化创意、科技服务业融合发展的，且经发展改革、行业主管部门审核符合投资和产业要求的，在5年过渡期内可继续按原用途和土地权利类型使用土地。5年期满涉及转让需办理相关用地手续的，新用途与详细规划一致的，可按新用途申请调整规划条件办理协议出让手续，按照本</w:t>
      </w:r>
      <w:r>
        <w:t>细则</w:t>
      </w:r>
      <w:r>
        <w:rPr>
          <w:rFonts w:hint="eastAsia"/>
        </w:rPr>
        <w:t>第十、十一、十二、十四条的规定补缴土地出让金，办理不动产登记手续。新的用途与详细规划不一致的，在申请规划条件前应先申请调整详细规划。</w:t>
      </w:r>
    </w:p>
    <w:p>
      <w:pPr>
        <w:ind w:firstLine="640"/>
        <w:rPr>
          <w:szCs w:val="32"/>
        </w:rPr>
      </w:pPr>
      <w:r>
        <w:rPr>
          <w:rFonts w:hint="eastAsia" w:ascii="仿宋_GB2312" w:hAnsi="黑体" w:cs="黑体"/>
          <w:szCs w:val="32"/>
        </w:rPr>
        <w:t>旧厂房改变功能项目一般不增加建筑面积，因完善自身建筑使用功能确需加建附属设施的，应当按照相关规定取得规划许可文件并按照有关规定补缴土地出让金。</w:t>
      </w:r>
    </w:p>
    <w:p>
      <w:pPr>
        <w:ind w:firstLine="640"/>
        <w:rPr>
          <w:rFonts w:ascii="仿宋_GB2312" w:hAnsi="黑体" w:cs="黑体"/>
          <w:szCs w:val="32"/>
        </w:rPr>
      </w:pPr>
      <w:r>
        <w:rPr>
          <w:rFonts w:hint="eastAsia" w:ascii="仿宋_GB2312" w:hAnsi="黑体" w:cs="黑体"/>
          <w:szCs w:val="32"/>
        </w:rPr>
        <w:t>涉及工业产业区块的，应按工业产业区块相关管理办法执行。纳入政府收储范围的旧厂房不适用本条规定。</w:t>
      </w:r>
    </w:p>
    <w:p>
      <w:pPr>
        <w:numPr>
          <w:ilvl w:val="0"/>
          <w:numId w:val="2"/>
        </w:numPr>
        <w:shd w:val="clear" w:color="auto" w:fill="auto"/>
        <w:ind w:firstLine="640"/>
        <w:outlineLvl w:val="1"/>
        <w:rPr>
          <w:rFonts w:ascii="黑体" w:hAnsi="黑体" w:eastAsia="黑体" w:cs="黑体"/>
          <w:szCs w:val="32"/>
        </w:rPr>
      </w:pPr>
      <w:bookmarkStart w:id="636" w:name="_Toc132276071"/>
      <w:r>
        <w:rPr>
          <w:rFonts w:hint="eastAsia" w:ascii="黑体" w:hAnsi="黑体" w:eastAsia="黑体" w:cs="黑体"/>
          <w:szCs w:val="32"/>
        </w:rPr>
        <w:t>【消防安全】</w:t>
      </w:r>
      <w:bookmarkEnd w:id="636"/>
    </w:p>
    <w:p>
      <w:pPr>
        <w:ind w:firstLine="640"/>
      </w:pPr>
      <w:r>
        <w:rPr>
          <w:rFonts w:hint="eastAsia"/>
        </w:rPr>
        <w:t>旧厂房微改造项目的消防安全应当按照法律、法规和现行技术标准执行。受条件限制确有困难的，可以综合运用新技术、新设备、加强型管理等保障措施，经消防部门会同相关部门组织专家评审论证通过后实施。</w:t>
      </w:r>
    </w:p>
    <w:p>
      <w:pPr>
        <w:numPr>
          <w:ilvl w:val="0"/>
          <w:numId w:val="2"/>
        </w:numPr>
        <w:shd w:val="clear" w:color="auto" w:fill="auto"/>
        <w:ind w:firstLine="640"/>
        <w:outlineLvl w:val="1"/>
        <w:rPr>
          <w:rFonts w:ascii="黑体" w:hAnsi="黑体" w:eastAsia="黑体" w:cs="黑体"/>
          <w:szCs w:val="32"/>
        </w:rPr>
      </w:pPr>
      <w:bookmarkStart w:id="637" w:name="_Toc132032316"/>
      <w:bookmarkEnd w:id="637"/>
      <w:bookmarkStart w:id="638" w:name="_Toc132031839"/>
      <w:bookmarkEnd w:id="638"/>
      <w:bookmarkStart w:id="639" w:name="_Toc132030551"/>
      <w:bookmarkEnd w:id="639"/>
      <w:bookmarkStart w:id="640" w:name="_Toc132031721"/>
      <w:bookmarkEnd w:id="640"/>
      <w:bookmarkStart w:id="641" w:name="_Toc132031953"/>
      <w:bookmarkEnd w:id="641"/>
      <w:bookmarkStart w:id="642" w:name="_Toc132032317"/>
      <w:bookmarkEnd w:id="642"/>
      <w:bookmarkStart w:id="643" w:name="_Toc132030552"/>
      <w:bookmarkEnd w:id="643"/>
      <w:bookmarkStart w:id="644" w:name="_Toc132030664"/>
      <w:bookmarkEnd w:id="644"/>
      <w:bookmarkStart w:id="645" w:name="_Toc132030665"/>
      <w:bookmarkEnd w:id="645"/>
      <w:bookmarkStart w:id="646" w:name="_Toc132030777"/>
      <w:bookmarkEnd w:id="646"/>
      <w:bookmarkStart w:id="647" w:name="_Toc132031952"/>
      <w:bookmarkEnd w:id="647"/>
      <w:bookmarkStart w:id="648" w:name="_Toc132030778"/>
      <w:bookmarkEnd w:id="648"/>
      <w:bookmarkStart w:id="649" w:name="_Toc132031722"/>
      <w:bookmarkEnd w:id="649"/>
      <w:bookmarkStart w:id="650" w:name="_Toc132031841"/>
      <w:bookmarkEnd w:id="650"/>
      <w:bookmarkStart w:id="651" w:name="_Toc132030663"/>
      <w:bookmarkEnd w:id="651"/>
      <w:bookmarkStart w:id="652" w:name="_Toc132031840"/>
      <w:bookmarkEnd w:id="652"/>
      <w:bookmarkStart w:id="653" w:name="_Toc132030550"/>
      <w:bookmarkEnd w:id="653"/>
      <w:bookmarkStart w:id="654" w:name="_Toc132030776"/>
      <w:bookmarkEnd w:id="654"/>
      <w:bookmarkStart w:id="655" w:name="_Toc132031720"/>
      <w:bookmarkEnd w:id="655"/>
      <w:bookmarkStart w:id="656" w:name="_Toc132030555"/>
      <w:bookmarkEnd w:id="656"/>
      <w:bookmarkStart w:id="657" w:name="_Toc132030780"/>
      <w:bookmarkEnd w:id="657"/>
      <w:bookmarkStart w:id="658" w:name="_Toc132031843"/>
      <w:bookmarkEnd w:id="658"/>
      <w:bookmarkStart w:id="659" w:name="_Toc132031958"/>
      <w:bookmarkEnd w:id="659"/>
      <w:bookmarkStart w:id="660" w:name="_Toc132030553"/>
      <w:bookmarkEnd w:id="660"/>
      <w:bookmarkStart w:id="661" w:name="_Toc132031842"/>
      <w:bookmarkEnd w:id="661"/>
      <w:bookmarkStart w:id="662" w:name="_Toc132031954"/>
      <w:bookmarkEnd w:id="662"/>
      <w:bookmarkStart w:id="663" w:name="_Toc132030554"/>
      <w:bookmarkEnd w:id="663"/>
      <w:bookmarkStart w:id="664" w:name="_Toc132031724"/>
      <w:bookmarkEnd w:id="664"/>
      <w:bookmarkStart w:id="665" w:name="_Toc132030668"/>
      <w:bookmarkEnd w:id="665"/>
      <w:bookmarkStart w:id="666" w:name="_Toc132030666"/>
      <w:bookmarkEnd w:id="666"/>
      <w:bookmarkStart w:id="667" w:name="_Toc132031726"/>
      <w:bookmarkEnd w:id="667"/>
      <w:bookmarkStart w:id="668" w:name="_Toc132030557"/>
      <w:bookmarkEnd w:id="668"/>
      <w:bookmarkStart w:id="669" w:name="_Toc132030670"/>
      <w:bookmarkEnd w:id="669"/>
      <w:bookmarkStart w:id="670" w:name="_Toc132032322"/>
      <w:bookmarkEnd w:id="670"/>
      <w:bookmarkStart w:id="671" w:name="_Toc132031957"/>
      <w:bookmarkEnd w:id="671"/>
      <w:bookmarkStart w:id="672" w:name="_Toc132030667"/>
      <w:bookmarkEnd w:id="672"/>
      <w:bookmarkStart w:id="673" w:name="_Toc132032319"/>
      <w:bookmarkEnd w:id="673"/>
      <w:bookmarkStart w:id="674" w:name="_Toc132032321"/>
      <w:bookmarkEnd w:id="674"/>
      <w:bookmarkStart w:id="675" w:name="_Toc132031725"/>
      <w:bookmarkEnd w:id="675"/>
      <w:bookmarkStart w:id="676" w:name="_Toc132030669"/>
      <w:bookmarkEnd w:id="676"/>
      <w:bookmarkStart w:id="677" w:name="_Toc132031955"/>
      <w:bookmarkEnd w:id="677"/>
      <w:bookmarkStart w:id="678" w:name="_Toc132030782"/>
      <w:bookmarkEnd w:id="678"/>
      <w:bookmarkStart w:id="679" w:name="_Toc132030779"/>
      <w:bookmarkEnd w:id="679"/>
      <w:bookmarkStart w:id="680" w:name="_Toc132031956"/>
      <w:bookmarkEnd w:id="680"/>
      <w:bookmarkStart w:id="681" w:name="_Toc132032320"/>
      <w:bookmarkEnd w:id="681"/>
      <w:bookmarkStart w:id="682" w:name="_Toc132030556"/>
      <w:bookmarkEnd w:id="682"/>
      <w:bookmarkStart w:id="683" w:name="_Toc132031723"/>
      <w:bookmarkEnd w:id="683"/>
      <w:bookmarkStart w:id="684" w:name="_Toc132030781"/>
      <w:bookmarkEnd w:id="684"/>
      <w:bookmarkStart w:id="685" w:name="_Toc132031844"/>
      <w:bookmarkEnd w:id="685"/>
      <w:bookmarkStart w:id="686" w:name="_Toc132032318"/>
      <w:bookmarkEnd w:id="686"/>
      <w:bookmarkStart w:id="687" w:name="_Toc132031845"/>
      <w:bookmarkEnd w:id="687"/>
      <w:bookmarkStart w:id="688" w:name="_Toc132030558"/>
      <w:bookmarkEnd w:id="688"/>
      <w:bookmarkStart w:id="689" w:name="_Toc132031963"/>
      <w:bookmarkEnd w:id="689"/>
      <w:bookmarkStart w:id="690" w:name="_Toc132030671"/>
      <w:bookmarkEnd w:id="690"/>
      <w:bookmarkStart w:id="691" w:name="_Toc132031847"/>
      <w:bookmarkEnd w:id="691"/>
      <w:bookmarkStart w:id="692" w:name="_Toc132031961"/>
      <w:bookmarkEnd w:id="692"/>
      <w:bookmarkStart w:id="693" w:name="_Toc132031731"/>
      <w:bookmarkEnd w:id="693"/>
      <w:bookmarkStart w:id="694" w:name="_Toc132031730"/>
      <w:bookmarkEnd w:id="694"/>
      <w:bookmarkStart w:id="695" w:name="_Toc132031727"/>
      <w:bookmarkEnd w:id="695"/>
      <w:bookmarkStart w:id="696" w:name="_Toc132031728"/>
      <w:bookmarkEnd w:id="696"/>
      <w:bookmarkStart w:id="697" w:name="_Toc132032324"/>
      <w:bookmarkEnd w:id="697"/>
      <w:bookmarkStart w:id="698" w:name="_Toc132031848"/>
      <w:bookmarkEnd w:id="698"/>
      <w:bookmarkStart w:id="699" w:name="_Toc132031729"/>
      <w:bookmarkEnd w:id="699"/>
      <w:bookmarkStart w:id="700" w:name="_Toc132030783"/>
      <w:bookmarkEnd w:id="700"/>
      <w:bookmarkStart w:id="701" w:name="_Toc132031960"/>
      <w:bookmarkEnd w:id="701"/>
      <w:bookmarkStart w:id="702" w:name="_Toc132032323"/>
      <w:bookmarkEnd w:id="702"/>
      <w:bookmarkStart w:id="703" w:name="_Toc132032325"/>
      <w:bookmarkEnd w:id="703"/>
      <w:bookmarkStart w:id="704" w:name="_Toc132030560"/>
      <w:bookmarkEnd w:id="704"/>
      <w:bookmarkStart w:id="705" w:name="_Toc132030673"/>
      <w:bookmarkEnd w:id="705"/>
      <w:bookmarkStart w:id="706" w:name="_Toc132031849"/>
      <w:bookmarkEnd w:id="706"/>
      <w:bookmarkStart w:id="707" w:name="_Toc132032326"/>
      <w:bookmarkEnd w:id="707"/>
      <w:bookmarkStart w:id="708" w:name="_Toc132030784"/>
      <w:bookmarkEnd w:id="708"/>
      <w:bookmarkStart w:id="709" w:name="_Toc132030559"/>
      <w:bookmarkEnd w:id="709"/>
      <w:bookmarkStart w:id="710" w:name="_Toc132030785"/>
      <w:bookmarkEnd w:id="710"/>
      <w:bookmarkStart w:id="711" w:name="_Toc132031846"/>
      <w:bookmarkEnd w:id="711"/>
      <w:bookmarkStart w:id="712" w:name="_Toc132031959"/>
      <w:bookmarkEnd w:id="712"/>
      <w:bookmarkStart w:id="713" w:name="_Toc132030787"/>
      <w:bookmarkEnd w:id="713"/>
      <w:bookmarkStart w:id="714" w:name="_Toc132031962"/>
      <w:bookmarkEnd w:id="714"/>
      <w:bookmarkStart w:id="715" w:name="_Toc132030786"/>
      <w:bookmarkEnd w:id="715"/>
      <w:bookmarkStart w:id="716" w:name="_Toc132031850"/>
      <w:bookmarkEnd w:id="716"/>
      <w:bookmarkStart w:id="717" w:name="_Toc132030561"/>
      <w:bookmarkEnd w:id="717"/>
      <w:bookmarkStart w:id="718" w:name="_Toc132030674"/>
      <w:bookmarkEnd w:id="718"/>
      <w:bookmarkStart w:id="719" w:name="_Toc132030672"/>
      <w:bookmarkEnd w:id="719"/>
      <w:bookmarkStart w:id="720" w:name="_Toc132031732"/>
      <w:bookmarkEnd w:id="720"/>
      <w:bookmarkStart w:id="721" w:name="_Toc132031964"/>
      <w:bookmarkEnd w:id="721"/>
      <w:bookmarkStart w:id="722" w:name="_Toc132032328"/>
      <w:bookmarkEnd w:id="722"/>
      <w:bookmarkStart w:id="723" w:name="_Toc132030675"/>
      <w:bookmarkEnd w:id="723"/>
      <w:bookmarkStart w:id="724" w:name="_Toc132030788"/>
      <w:bookmarkEnd w:id="724"/>
      <w:bookmarkStart w:id="725" w:name="_Toc132032327"/>
      <w:bookmarkEnd w:id="725"/>
      <w:bookmarkStart w:id="726" w:name="_Toc132031851"/>
      <w:bookmarkEnd w:id="726"/>
      <w:bookmarkStart w:id="727" w:name="_Toc132030562"/>
      <w:bookmarkEnd w:id="727"/>
      <w:bookmarkStart w:id="728" w:name="_Toc132276072"/>
      <w:r>
        <w:rPr>
          <w:rFonts w:hint="eastAsia" w:ascii="黑体" w:hAnsi="黑体" w:eastAsia="黑体" w:cs="黑体"/>
          <w:szCs w:val="32"/>
        </w:rPr>
        <w:t>【旧厂房用地公益征收】</w:t>
      </w:r>
      <w:bookmarkEnd w:id="728"/>
    </w:p>
    <w:p>
      <w:pPr>
        <w:ind w:firstLine="640"/>
        <w:rPr>
          <w:szCs w:val="32"/>
        </w:rPr>
      </w:pPr>
      <w:r>
        <w:rPr>
          <w:rFonts w:hint="eastAsia"/>
          <w:szCs w:val="32"/>
        </w:rPr>
        <w:t>旧厂房用地规划为道路、绿地、政府保障性住房等公益性用地的，可以由政府按照《国有土地上房屋征收与补偿条例》和本市农民集体所有土地征收补偿办法依法进行征收。</w:t>
      </w:r>
    </w:p>
    <w:p>
      <w:pPr>
        <w:numPr>
          <w:ilvl w:val="0"/>
          <w:numId w:val="2"/>
        </w:numPr>
        <w:shd w:val="clear" w:color="auto" w:fill="auto"/>
        <w:ind w:firstLine="640"/>
        <w:outlineLvl w:val="1"/>
        <w:rPr>
          <w:rFonts w:ascii="黑体" w:hAnsi="黑体" w:eastAsia="黑体" w:cs="黑体"/>
          <w:szCs w:val="32"/>
        </w:rPr>
      </w:pPr>
      <w:bookmarkStart w:id="729" w:name="_Toc132276073"/>
      <w:r>
        <w:rPr>
          <w:rFonts w:hint="eastAsia" w:ascii="黑体" w:hAnsi="黑体" w:eastAsia="黑体" w:cs="黑体"/>
          <w:szCs w:val="32"/>
        </w:rPr>
        <w:t>【工业遗产保护】</w:t>
      </w:r>
      <w:bookmarkEnd w:id="729"/>
    </w:p>
    <w:p>
      <w:pPr>
        <w:ind w:firstLine="640"/>
        <w:rPr>
          <w:szCs w:val="32"/>
        </w:rPr>
      </w:pPr>
      <w:r>
        <w:rPr>
          <w:rFonts w:hint="eastAsia"/>
          <w:szCs w:val="32"/>
        </w:rPr>
        <w:t>旧厂房改造项目原址建筑经市文化、规划和自然资源、工业和信息化部门或者区政府认定为文物、历史建筑、传统风貌建筑、工业遗产，以及确定为具有保护保留价值的保护对象的，应当按有关法律法规的规定和保护要求进行保护。</w:t>
      </w:r>
    </w:p>
    <w:p>
      <w:pPr>
        <w:numPr>
          <w:ilvl w:val="0"/>
          <w:numId w:val="2"/>
        </w:numPr>
        <w:shd w:val="clear" w:color="auto" w:fill="auto"/>
        <w:ind w:firstLine="640"/>
        <w:outlineLvl w:val="1"/>
        <w:rPr>
          <w:rFonts w:ascii="黑体" w:hAnsi="黑体" w:eastAsia="黑体" w:cs="黑体"/>
          <w:szCs w:val="32"/>
        </w:rPr>
      </w:pPr>
      <w:bookmarkStart w:id="730" w:name="_Toc132276074"/>
      <w:r>
        <w:rPr>
          <w:rFonts w:hint="eastAsia" w:ascii="黑体" w:hAnsi="黑体" w:eastAsia="黑体" w:cs="黑体"/>
          <w:szCs w:val="32"/>
        </w:rPr>
        <w:t>【土地污染调查和评估】</w:t>
      </w:r>
      <w:bookmarkEnd w:id="730"/>
    </w:p>
    <w:p>
      <w:pPr>
        <w:ind w:firstLine="640"/>
        <w:rPr>
          <w:szCs w:val="32"/>
        </w:rPr>
      </w:pPr>
      <w:r>
        <w:rPr>
          <w:rFonts w:hint="eastAsia"/>
          <w:szCs w:val="32"/>
        </w:rPr>
        <w:t>有可能产生土壤污染的工业企业遗留场地再开发利用时，政府收储项目在交地前，自主改造为商业、学校、医疗、养老机构等公共设施及保障性住房的项目出让前，原土地权属人应当开展必要的土壤环境调查和风险评估工作，认定为污染场地的，应当进行治理修复，确保土壤环境质量满足后续开发使用要求，相关部门有其他要求的从其规定。</w:t>
      </w:r>
    </w:p>
    <w:p>
      <w:pPr>
        <w:numPr>
          <w:ilvl w:val="0"/>
          <w:numId w:val="2"/>
        </w:numPr>
        <w:shd w:val="clear" w:color="auto" w:fill="auto"/>
        <w:ind w:firstLine="640"/>
        <w:outlineLvl w:val="1"/>
        <w:rPr>
          <w:rFonts w:ascii="黑体" w:hAnsi="黑体" w:eastAsia="黑体" w:cs="黑体"/>
          <w:szCs w:val="32"/>
        </w:rPr>
      </w:pPr>
      <w:bookmarkStart w:id="731" w:name="_Toc132276075"/>
      <w:r>
        <w:rPr>
          <w:rFonts w:hint="eastAsia" w:ascii="黑体" w:hAnsi="黑体" w:eastAsia="黑体" w:cs="黑体"/>
          <w:szCs w:val="32"/>
        </w:rPr>
        <w:t>【专项</w:t>
      </w:r>
      <w:r>
        <w:rPr>
          <w:rFonts w:ascii="黑体" w:hAnsi="黑体" w:eastAsia="黑体" w:cs="黑体"/>
          <w:szCs w:val="32"/>
        </w:rPr>
        <w:t>评估</w:t>
      </w:r>
      <w:r>
        <w:rPr>
          <w:rFonts w:hint="eastAsia" w:ascii="黑体" w:hAnsi="黑体" w:eastAsia="黑体" w:cs="黑体"/>
          <w:szCs w:val="32"/>
        </w:rPr>
        <w:t>】</w:t>
      </w:r>
      <w:bookmarkEnd w:id="731"/>
    </w:p>
    <w:p>
      <w:pPr>
        <w:ind w:firstLine="640"/>
        <w:rPr>
          <w:szCs w:val="32"/>
        </w:rPr>
      </w:pPr>
      <w:r>
        <w:rPr>
          <w:rFonts w:hint="eastAsia"/>
          <w:szCs w:val="32"/>
        </w:rPr>
        <w:t>旧厂房改造应当</w:t>
      </w:r>
      <w:r>
        <w:rPr>
          <w:rFonts w:hint="eastAsia" w:cs="仿宋"/>
          <w:bCs/>
          <w:szCs w:val="32"/>
        </w:rPr>
        <w:t>按照规定编制树木保护专章、历史文化遗产调查评估保护专章、海绵城市专章等。</w:t>
      </w:r>
      <w:r>
        <w:rPr>
          <w:rFonts w:hint="eastAsia"/>
          <w:szCs w:val="32"/>
        </w:rPr>
        <w:t>对已完成区域评估的旧厂房改造项目，在符合区域评估报告使用条件下，不再要求单个改造项目进行压覆重要矿产资源、节能、环境影响、文化遗产、地质灾害危险性、地震安全性等相关评估。</w:t>
      </w:r>
    </w:p>
    <w:p>
      <w:pPr>
        <w:numPr>
          <w:ilvl w:val="0"/>
          <w:numId w:val="2"/>
        </w:numPr>
        <w:shd w:val="clear" w:color="auto" w:fill="auto"/>
        <w:ind w:firstLine="640"/>
        <w:outlineLvl w:val="1"/>
        <w:rPr>
          <w:rFonts w:ascii="黑体" w:hAnsi="黑体" w:eastAsia="黑体" w:cs="黑体"/>
          <w:szCs w:val="32"/>
        </w:rPr>
      </w:pPr>
      <w:bookmarkStart w:id="732" w:name="_Toc132276076"/>
      <w:r>
        <w:rPr>
          <w:rFonts w:hint="eastAsia" w:ascii="黑体" w:hAnsi="黑体" w:eastAsia="黑体" w:cs="黑体"/>
          <w:szCs w:val="32"/>
        </w:rPr>
        <w:t>【权益人不一致处理</w:t>
      </w:r>
      <w:r>
        <w:rPr>
          <w:rFonts w:ascii="黑体" w:hAnsi="黑体" w:eastAsia="黑体" w:cs="黑体"/>
          <w:szCs w:val="32"/>
        </w:rPr>
        <w:t>方式</w:t>
      </w:r>
      <w:r>
        <w:rPr>
          <w:rFonts w:hint="eastAsia" w:ascii="黑体" w:hAnsi="黑体" w:eastAsia="黑体" w:cs="黑体"/>
          <w:szCs w:val="32"/>
        </w:rPr>
        <w:t>】</w:t>
      </w:r>
      <w:bookmarkEnd w:id="732"/>
    </w:p>
    <w:p>
      <w:pPr>
        <w:ind w:firstLine="640"/>
        <w:rPr>
          <w:szCs w:val="32"/>
        </w:rPr>
      </w:pPr>
      <w:r>
        <w:rPr>
          <w:rFonts w:hint="eastAsia"/>
          <w:szCs w:val="32"/>
        </w:rPr>
        <w:t>旧厂房土地权属人与实际使用人不一致时，由土地权属人与实际使用人达成补偿协议后，再向区“三旧”改造主管部门提出改造申请。对实际使用人的搬迁补偿由土地权属人与其协商解决。</w:t>
      </w:r>
    </w:p>
    <w:p>
      <w:pPr>
        <w:numPr>
          <w:ilvl w:val="0"/>
          <w:numId w:val="2"/>
        </w:numPr>
        <w:shd w:val="clear" w:color="auto" w:fill="auto"/>
        <w:ind w:firstLine="640"/>
        <w:outlineLvl w:val="1"/>
        <w:rPr>
          <w:rFonts w:ascii="黑体" w:hAnsi="黑体" w:eastAsia="黑体" w:cs="黑体"/>
          <w:szCs w:val="32"/>
        </w:rPr>
      </w:pPr>
      <w:bookmarkStart w:id="733" w:name="_Toc132276078"/>
      <w:r>
        <w:rPr>
          <w:rFonts w:hint="eastAsia" w:ascii="黑体" w:hAnsi="黑体" w:eastAsia="黑体" w:cs="黑体"/>
          <w:szCs w:val="32"/>
        </w:rPr>
        <w:t>【土地供应】</w:t>
      </w:r>
      <w:bookmarkEnd w:id="733"/>
    </w:p>
    <w:p>
      <w:pPr>
        <w:ind w:firstLine="640"/>
        <w:rPr>
          <w:szCs w:val="32"/>
        </w:rPr>
      </w:pPr>
      <w:r>
        <w:rPr>
          <w:rFonts w:hint="eastAsia"/>
          <w:szCs w:val="32"/>
        </w:rPr>
        <w:t>旧厂房改造项目交由政府收储的，纳入土地供应计划，由政府按规定组织土地供应；自主改造的，由土地权属人向规划</w:t>
      </w:r>
      <w:r>
        <w:rPr>
          <w:szCs w:val="32"/>
        </w:rPr>
        <w:t>和</w:t>
      </w:r>
      <w:r>
        <w:rPr>
          <w:rFonts w:hint="eastAsia"/>
          <w:szCs w:val="32"/>
        </w:rPr>
        <w:t>自然资源主管部门办理补交土地出让金或完善土地出让手续并变更土地权属证书。</w:t>
      </w:r>
    </w:p>
    <w:p>
      <w:pPr>
        <w:numPr>
          <w:ilvl w:val="0"/>
          <w:numId w:val="2"/>
        </w:numPr>
        <w:shd w:val="clear" w:color="auto" w:fill="auto"/>
        <w:ind w:firstLine="640"/>
        <w:outlineLvl w:val="1"/>
        <w:rPr>
          <w:rFonts w:ascii="黑体" w:hAnsi="黑体" w:eastAsia="黑体" w:cs="黑体"/>
          <w:szCs w:val="32"/>
        </w:rPr>
      </w:pPr>
      <w:bookmarkStart w:id="734" w:name="_Toc132276079"/>
      <w:r>
        <w:rPr>
          <w:rFonts w:hint="eastAsia" w:ascii="黑体" w:hAnsi="黑体" w:eastAsia="黑体" w:cs="黑体"/>
          <w:szCs w:val="32"/>
        </w:rPr>
        <w:t>【批后监管】</w:t>
      </w:r>
      <w:bookmarkEnd w:id="734"/>
    </w:p>
    <w:p>
      <w:pPr>
        <w:ind w:firstLine="640"/>
        <w:rPr>
          <w:szCs w:val="32"/>
        </w:rPr>
      </w:pPr>
      <w:r>
        <w:rPr>
          <w:rFonts w:hint="eastAsia"/>
          <w:szCs w:val="32"/>
        </w:rPr>
        <w:t>市住房和城乡建设主管部门负责建立健全项目批后监管机制，实施动态监管。</w:t>
      </w:r>
    </w:p>
    <w:p>
      <w:pPr>
        <w:ind w:firstLine="640"/>
        <w:rPr>
          <w:szCs w:val="32"/>
        </w:rPr>
      </w:pPr>
      <w:r>
        <w:rPr>
          <w:rFonts w:hint="eastAsia"/>
          <w:szCs w:val="32"/>
        </w:rPr>
        <w:t>各区“三旧”改造主管部门负责具体实施项目的日常监管和动态巡查，自取得项目实施方案批复之日起3个月内与项目改造主体签订监管协议（政府征收储备项目除外），明确具体监管措施及改造主体责任。</w:t>
      </w:r>
    </w:p>
    <w:p>
      <w:pPr>
        <w:ind w:firstLine="640"/>
        <w:rPr>
          <w:szCs w:val="32"/>
        </w:rPr>
      </w:pPr>
      <w:r>
        <w:t>完善历史用地手续的旧厂房项目未在供地手续批准后两年内实施改造的，相应扣减所在区的新增建设用地计划指标。</w:t>
      </w:r>
    </w:p>
    <w:p>
      <w:pPr>
        <w:numPr>
          <w:ilvl w:val="0"/>
          <w:numId w:val="2"/>
        </w:numPr>
        <w:shd w:val="clear" w:color="auto" w:fill="auto"/>
        <w:ind w:firstLine="640"/>
        <w:outlineLvl w:val="1"/>
        <w:rPr>
          <w:rFonts w:ascii="黑体" w:hAnsi="黑体" w:eastAsia="黑体" w:cs="黑体"/>
          <w:szCs w:val="32"/>
        </w:rPr>
      </w:pPr>
      <w:bookmarkStart w:id="735" w:name="_Toc132276080"/>
      <w:r>
        <w:rPr>
          <w:rFonts w:hint="eastAsia" w:ascii="黑体" w:hAnsi="黑体" w:eastAsia="黑体" w:cs="黑体"/>
          <w:szCs w:val="32"/>
        </w:rPr>
        <w:t>【</w:t>
      </w:r>
      <w:r>
        <w:rPr>
          <w:rFonts w:ascii="黑体" w:hAnsi="黑体" w:eastAsia="黑体" w:cs="黑体"/>
          <w:szCs w:val="32"/>
        </w:rPr>
        <w:t>方案调整</w:t>
      </w:r>
      <w:r>
        <w:rPr>
          <w:rFonts w:hint="eastAsia" w:ascii="黑体" w:hAnsi="黑体" w:eastAsia="黑体" w:cs="黑体"/>
          <w:szCs w:val="32"/>
        </w:rPr>
        <w:t>】</w:t>
      </w:r>
    </w:p>
    <w:p>
      <w:pPr>
        <w:ind w:firstLine="640"/>
      </w:pPr>
      <w:r>
        <w:rPr>
          <w:rFonts w:hint="eastAsia"/>
        </w:rPr>
        <w:t>旧厂房改造项目实施方案批复有效期内，需调整实施方案的，应报原审批机关批准。</w:t>
      </w:r>
    </w:p>
    <w:p>
      <w:pPr>
        <w:numPr>
          <w:ilvl w:val="0"/>
          <w:numId w:val="2"/>
        </w:numPr>
        <w:shd w:val="clear" w:color="auto" w:fill="auto"/>
        <w:ind w:firstLine="640"/>
        <w:outlineLvl w:val="1"/>
        <w:rPr>
          <w:rFonts w:ascii="黑体" w:hAnsi="黑体" w:eastAsia="黑体" w:cs="黑体"/>
          <w:szCs w:val="32"/>
        </w:rPr>
      </w:pPr>
      <w:r>
        <w:rPr>
          <w:rFonts w:hint="eastAsia" w:ascii="黑体" w:hAnsi="黑体" w:eastAsia="黑体" w:cs="黑体"/>
          <w:szCs w:val="32"/>
        </w:rPr>
        <w:t>【批复</w:t>
      </w:r>
      <w:r>
        <w:rPr>
          <w:rFonts w:ascii="黑体" w:hAnsi="黑体" w:eastAsia="黑体" w:cs="黑体"/>
          <w:szCs w:val="32"/>
        </w:rPr>
        <w:t>失效</w:t>
      </w:r>
      <w:r>
        <w:rPr>
          <w:rFonts w:hint="eastAsia" w:ascii="黑体" w:hAnsi="黑体" w:eastAsia="黑体" w:cs="黑体"/>
          <w:szCs w:val="32"/>
        </w:rPr>
        <w:t>】</w:t>
      </w:r>
      <w:bookmarkEnd w:id="735"/>
    </w:p>
    <w:p>
      <w:pPr>
        <w:ind w:firstLine="640"/>
        <w:rPr>
          <w:szCs w:val="32"/>
        </w:rPr>
      </w:pPr>
      <w:r>
        <w:rPr>
          <w:rFonts w:hint="eastAsia"/>
          <w:szCs w:val="32"/>
        </w:rPr>
        <w:t>旧厂房改造项目由土地权属人自主改造的，自取得项目实施方案批复之日起，未在批复的时限内办理出让手续的，批复自动失效。取得旧厂房土地储备项目实施方案或项目建议书批复，视为取得旧厂房改造实施方案批复。</w:t>
      </w:r>
      <w:r>
        <w:t>已签订收储协议的旧厂房改造项目，因</w:t>
      </w:r>
      <w:r>
        <w:rPr>
          <w:rFonts w:hint="eastAsia"/>
        </w:rPr>
        <w:t>国土空间</w:t>
      </w:r>
      <w:r>
        <w:t>规划、政策调整或收储协议无法履行等原因导致项目无法实施的，经原审批机构审议同意可撤销批复</w:t>
      </w:r>
      <w:r>
        <w:rPr>
          <w:rFonts w:hint="eastAsia"/>
        </w:rPr>
        <w:t>，</w:t>
      </w:r>
      <w:r>
        <w:t>解除收储协议并将土地退还至原</w:t>
      </w:r>
      <w:r>
        <w:rPr>
          <w:rFonts w:hint="eastAsia"/>
          <w:szCs w:val="32"/>
        </w:rPr>
        <w:t>土地权属人</w:t>
      </w:r>
      <w:r>
        <w:t>。</w:t>
      </w:r>
    </w:p>
    <w:p>
      <w:pPr>
        <w:ind w:firstLine="640"/>
        <w:rPr>
          <w:szCs w:val="32"/>
        </w:rPr>
      </w:pPr>
      <w:r>
        <w:rPr>
          <w:rFonts w:hint="eastAsia"/>
          <w:szCs w:val="32"/>
        </w:rPr>
        <w:t>原则上，批复失效后2年内该项目不得再次申请改造。批复失效前，经原审批机构审议同意，可延期1次，延长期限不超过1年。</w:t>
      </w:r>
    </w:p>
    <w:p>
      <w:pPr>
        <w:numPr>
          <w:ilvl w:val="0"/>
          <w:numId w:val="2"/>
        </w:numPr>
        <w:shd w:val="clear" w:color="auto" w:fill="auto"/>
        <w:ind w:firstLine="640"/>
        <w:outlineLvl w:val="1"/>
        <w:rPr>
          <w:rFonts w:ascii="黑体" w:hAnsi="黑体" w:eastAsia="黑体" w:cs="黑体"/>
          <w:szCs w:val="32"/>
        </w:rPr>
      </w:pPr>
      <w:bookmarkStart w:id="736" w:name="_Toc132276081"/>
      <w:r>
        <w:rPr>
          <w:rFonts w:hint="eastAsia" w:ascii="黑体" w:hAnsi="黑体" w:eastAsia="黑体" w:cs="黑体"/>
          <w:szCs w:val="32"/>
        </w:rPr>
        <w:t>【事权下放】</w:t>
      </w:r>
      <w:bookmarkEnd w:id="736"/>
    </w:p>
    <w:p>
      <w:pPr>
        <w:ind w:firstLine="640"/>
        <w:rPr>
          <w:rFonts w:ascii="黑体" w:hAnsi="黑体" w:eastAsia="黑体" w:cs="黑体"/>
          <w:szCs w:val="32"/>
        </w:rPr>
      </w:pPr>
      <w:r>
        <w:rPr>
          <w:rFonts w:hint="eastAsia"/>
          <w:szCs w:val="32"/>
        </w:rPr>
        <w:t>符合国土空间详细规划的旧厂房改造片区策划方案、实施方案的审定事权委托给各区政府实施。黄埔区、南沙区、增城区、广州空港经济区按已经市人民政府下放或委托权限的有关规定办理。</w:t>
      </w:r>
    </w:p>
    <w:p>
      <w:pPr>
        <w:ind w:firstLine="640"/>
        <w:rPr>
          <w:szCs w:val="32"/>
        </w:rPr>
      </w:pPr>
      <w:r>
        <w:rPr>
          <w:rFonts w:hint="eastAsia"/>
          <w:szCs w:val="32"/>
        </w:rPr>
        <w:t>市城市更新领导机构应当建立工作机制，对区政府承接工作情况进行督导检查。区人民政府制定事权下放承接工作方案，明确操作标准和工作程序，规范旧厂房改造审批工作。</w:t>
      </w:r>
    </w:p>
    <w:p>
      <w:pPr>
        <w:numPr>
          <w:ilvl w:val="0"/>
          <w:numId w:val="2"/>
        </w:numPr>
        <w:shd w:val="clear" w:color="auto" w:fill="auto"/>
        <w:ind w:firstLine="640"/>
        <w:outlineLvl w:val="1"/>
        <w:rPr>
          <w:rFonts w:ascii="黑体" w:hAnsi="黑体" w:eastAsia="黑体" w:cs="黑体"/>
          <w:szCs w:val="32"/>
        </w:rPr>
      </w:pPr>
      <w:bookmarkStart w:id="737" w:name="_Toc132276082"/>
      <w:r>
        <w:rPr>
          <w:rFonts w:hint="eastAsia" w:ascii="黑体" w:hAnsi="黑体" w:eastAsia="黑体" w:cs="黑体"/>
          <w:szCs w:val="32"/>
        </w:rPr>
        <w:t>【实施时间】</w:t>
      </w:r>
      <w:bookmarkEnd w:id="737"/>
    </w:p>
    <w:p>
      <w:pPr>
        <w:ind w:firstLine="640"/>
        <w:rPr>
          <w:szCs w:val="32"/>
        </w:rPr>
      </w:pPr>
      <w:r>
        <w:rPr>
          <w:rFonts w:hint="eastAsia"/>
          <w:szCs w:val="32"/>
        </w:rPr>
        <w:t>本细则自202</w:t>
      </w:r>
      <w:r>
        <w:rPr>
          <w:szCs w:val="32"/>
        </w:rPr>
        <w:t>4</w:t>
      </w:r>
      <w:r>
        <w:rPr>
          <w:rFonts w:hint="eastAsia"/>
          <w:szCs w:val="32"/>
        </w:rPr>
        <w:t>年</w:t>
      </w:r>
      <w:r>
        <w:rPr>
          <w:szCs w:val="32"/>
        </w:rPr>
        <w:t>X</w:t>
      </w:r>
      <w:r>
        <w:rPr>
          <w:rFonts w:hint="eastAsia"/>
          <w:szCs w:val="32"/>
        </w:rPr>
        <w:t>月</w:t>
      </w:r>
      <w:r>
        <w:rPr>
          <w:szCs w:val="32"/>
        </w:rPr>
        <w:t>X</w:t>
      </w:r>
      <w:r>
        <w:rPr>
          <w:rFonts w:hint="eastAsia"/>
          <w:szCs w:val="32"/>
        </w:rPr>
        <w:t>日起施行，有效期5年。</w:t>
      </w:r>
    </w:p>
    <w:p>
      <w:pPr>
        <w:widowControl/>
        <w:shd w:val="clear" w:color="auto" w:fill="auto"/>
        <w:spacing w:line="240" w:lineRule="auto"/>
        <w:ind w:firstLine="0" w:firstLineChars="0"/>
        <w:jc w:val="left"/>
        <w:rPr>
          <w:rFonts w:eastAsia="楷体_GB2312" w:cs="仿宋"/>
          <w:sz w:val="24"/>
          <w:szCs w:val="18"/>
        </w:rPr>
        <w:sectPr>
          <w:headerReference r:id="rId13" w:type="first"/>
          <w:footerReference r:id="rId16" w:type="first"/>
          <w:headerReference r:id="rId11" w:type="default"/>
          <w:footerReference r:id="rId14" w:type="default"/>
          <w:headerReference r:id="rId12" w:type="even"/>
          <w:footerReference r:id="rId15" w:type="even"/>
          <w:pgSz w:w="11907" w:h="16839"/>
          <w:pgMar w:top="1440" w:right="1800" w:bottom="1440" w:left="1800" w:header="851" w:footer="992" w:gutter="0"/>
          <w:pgNumType w:start="1"/>
          <w:cols w:space="720" w:num="1"/>
          <w:docGrid w:type="linesAndChars" w:linePitch="435" w:charSpace="0"/>
        </w:sectPr>
      </w:pPr>
    </w:p>
    <w:p>
      <w:pPr>
        <w:widowControl/>
        <w:ind w:firstLine="0" w:firstLineChars="0"/>
        <w:jc w:val="right"/>
        <w:rPr>
          <w:szCs w:val="32"/>
        </w:rPr>
      </w:pPr>
    </w:p>
    <w:p>
      <w:pPr>
        <w:spacing w:before="130" w:beforeLines="30" w:after="130" w:afterLines="30"/>
        <w:ind w:firstLine="0" w:firstLineChars="0"/>
        <w:jc w:val="center"/>
        <w:outlineLvl w:val="0"/>
        <w:rPr>
          <w:rFonts w:ascii="方正小标宋简体" w:eastAsia="方正小标宋简体"/>
          <w:sz w:val="44"/>
          <w:szCs w:val="44"/>
        </w:rPr>
      </w:pPr>
      <w:bookmarkStart w:id="738" w:name="_Toc146707223"/>
      <w:r>
        <w:rPr>
          <w:rFonts w:hint="eastAsia" w:ascii="方正小标宋简体" w:eastAsia="方正小标宋简体"/>
          <w:sz w:val="44"/>
          <w:szCs w:val="44"/>
        </w:rPr>
        <w:t>广州市旧城镇改造实施细则</w:t>
      </w:r>
      <w:bookmarkEnd w:id="738"/>
    </w:p>
    <w:p>
      <w:pPr>
        <w:spacing w:before="130" w:beforeLines="30" w:after="130" w:afterLines="30"/>
        <w:ind w:firstLine="640"/>
        <w:jc w:val="center"/>
        <w:outlineLvl w:val="0"/>
        <w:rPr>
          <w:rFonts w:ascii="楷体_GB2312" w:eastAsia="楷体_GB2312"/>
          <w:szCs w:val="32"/>
        </w:rPr>
      </w:pPr>
      <w:bookmarkStart w:id="739" w:name="_Toc146707224"/>
      <w:r>
        <w:rPr>
          <w:rFonts w:hint="eastAsia" w:eastAsia="楷体_GB2312"/>
          <w:szCs w:val="32"/>
        </w:rPr>
        <w:t>（征求意见稿）</w:t>
      </w:r>
      <w:bookmarkEnd w:id="739"/>
    </w:p>
    <w:p>
      <w:pPr>
        <w:numPr>
          <w:ilvl w:val="0"/>
          <w:numId w:val="3"/>
        </w:numPr>
        <w:ind w:firstLine="640"/>
        <w:outlineLvl w:val="1"/>
        <w:rPr>
          <w:rFonts w:ascii="黑体" w:hAnsi="黑体" w:eastAsia="黑体" w:cs="黑体"/>
          <w:szCs w:val="32"/>
        </w:rPr>
      </w:pPr>
      <w:bookmarkStart w:id="740" w:name="_Toc146707225"/>
      <w:bookmarkStart w:id="741" w:name="_Toc106257045"/>
      <w:r>
        <w:rPr>
          <w:rFonts w:hint="eastAsia" w:ascii="黑体" w:hAnsi="黑体" w:eastAsia="黑体" w:cs="黑体"/>
          <w:szCs w:val="32"/>
        </w:rPr>
        <w:t>【制定目的】</w:t>
      </w:r>
      <w:bookmarkEnd w:id="740"/>
      <w:bookmarkEnd w:id="741"/>
      <w:bookmarkStart w:id="760" w:name="_GoBack"/>
      <w:bookmarkEnd w:id="760"/>
    </w:p>
    <w:p>
      <w:pPr>
        <w:ind w:firstLine="640"/>
        <w:rPr>
          <w:rFonts w:ascii="仿宋_GB2312"/>
          <w:szCs w:val="32"/>
          <w:shd w:val="clear" w:color="auto" w:fill="FFFFFF"/>
        </w:rPr>
      </w:pPr>
      <w:r>
        <w:rPr>
          <w:rFonts w:hint="eastAsia"/>
        </w:rPr>
        <w:t>为进一步推进和规范本市旧城镇改造工作，</w:t>
      </w:r>
      <w:r>
        <w:rPr>
          <w:rFonts w:hint="eastAsia" w:ascii="仿宋_GB2312"/>
          <w:szCs w:val="32"/>
        </w:rPr>
        <w:t>提高节约集约用地水平，完善城市功能，提升城市品质，</w:t>
      </w:r>
      <w:r>
        <w:rPr>
          <w:rFonts w:hint="eastAsia"/>
        </w:rPr>
        <w:t>传承历史文化，</w:t>
      </w:r>
      <w:r>
        <w:rPr>
          <w:rFonts w:hint="eastAsia" w:ascii="仿宋_GB2312"/>
          <w:szCs w:val="32"/>
        </w:rPr>
        <w:t>改善人居环境，完善公共设施，激发城市活力，</w:t>
      </w:r>
      <w:r>
        <w:rPr>
          <w:rFonts w:hint="eastAsia" w:ascii="仿宋_GB2312"/>
          <w:szCs w:val="32"/>
          <w:shd w:val="clear" w:color="auto" w:fill="FFFFFF"/>
        </w:rPr>
        <w:t>促进经济高质量发展，</w:t>
      </w:r>
      <w:r>
        <w:rPr>
          <w:rFonts w:hint="eastAsia"/>
        </w:rPr>
        <w:t>根据有关法律法规和《广东省旧城镇旧厂房旧村庄改造管理办法》《广州市旧村庄旧厂房旧城镇改造实施办法》等规章的规定，结合本市实际，制定本细则。</w:t>
      </w:r>
    </w:p>
    <w:p>
      <w:pPr>
        <w:numPr>
          <w:ilvl w:val="0"/>
          <w:numId w:val="3"/>
        </w:numPr>
        <w:ind w:firstLine="640"/>
        <w:outlineLvl w:val="1"/>
        <w:rPr>
          <w:rFonts w:ascii="黑体" w:hAnsi="黑体" w:eastAsia="黑体" w:cs="黑体"/>
          <w:szCs w:val="32"/>
        </w:rPr>
      </w:pPr>
      <w:bookmarkStart w:id="742" w:name="_Toc146707226"/>
      <w:r>
        <w:rPr>
          <w:rFonts w:hint="eastAsia" w:ascii="黑体" w:hAnsi="黑体" w:eastAsia="黑体" w:cs="黑体"/>
          <w:szCs w:val="32"/>
        </w:rPr>
        <w:t>【适用范围】</w:t>
      </w:r>
      <w:bookmarkEnd w:id="742"/>
    </w:p>
    <w:p>
      <w:pPr>
        <w:ind w:firstLine="640"/>
      </w:pPr>
      <w:r>
        <w:rPr>
          <w:rFonts w:hint="eastAsia"/>
        </w:rPr>
        <w:t>本市行政区域内，经市人民政府同意，对旧城镇建成年代较早、危破旧房集中、市政配套设施不完善、公共服务设施不健全等的区域进行保护利用、综合整治或者再开发的活动，适用本细则。</w:t>
      </w:r>
    </w:p>
    <w:p>
      <w:pPr>
        <w:numPr>
          <w:ilvl w:val="0"/>
          <w:numId w:val="3"/>
        </w:numPr>
        <w:ind w:firstLine="640"/>
        <w:outlineLvl w:val="1"/>
        <w:rPr>
          <w:rFonts w:ascii="黑体" w:hAnsi="黑体" w:eastAsia="黑体" w:cs="黑体"/>
          <w:szCs w:val="32"/>
        </w:rPr>
      </w:pPr>
      <w:bookmarkStart w:id="743" w:name="_Toc146707227"/>
      <w:r>
        <w:rPr>
          <w:rFonts w:hint="eastAsia" w:ascii="黑体" w:hAnsi="黑体" w:eastAsia="黑体" w:cs="黑体"/>
          <w:szCs w:val="32"/>
        </w:rPr>
        <w:t>【基本原则】</w:t>
      </w:r>
      <w:bookmarkEnd w:id="743"/>
    </w:p>
    <w:p>
      <w:pPr>
        <w:ind w:firstLine="640"/>
      </w:pPr>
      <w:r>
        <w:rPr>
          <w:rFonts w:hint="eastAsia"/>
        </w:rPr>
        <w:t>对按规定纳入旧城镇改造的区域，按照节约集约高效用地和传承城市历史文脉的要求实施改造，保护历史文化遗产、改善人居环境、完善公共服务配套和优化城市功能布局。</w:t>
      </w:r>
    </w:p>
    <w:p>
      <w:pPr>
        <w:ind w:firstLine="640"/>
      </w:pPr>
      <w:r>
        <w:rPr>
          <w:rFonts w:hint="eastAsia"/>
        </w:rPr>
        <w:t>旧城镇改造应当结合历史文化名城保护，对历史城区、历史文化名镇、历史文化街区、历史风貌区、不可移动文物、历史建筑和传统风貌建筑，应当遵循“科学规划、严格保护、发掘内涵、活化传承”的原则，保持和延续其传统格局和历史风貌，维护历史文化遗产的真实性和完整性，继承和弘扬岭南地区优秀传统文化。</w:t>
      </w:r>
    </w:p>
    <w:p>
      <w:pPr>
        <w:numPr>
          <w:ilvl w:val="0"/>
          <w:numId w:val="3"/>
        </w:numPr>
        <w:ind w:firstLine="640"/>
        <w:outlineLvl w:val="1"/>
        <w:rPr>
          <w:rFonts w:ascii="黑体" w:hAnsi="黑体" w:eastAsia="黑体" w:cs="黑体"/>
          <w:szCs w:val="32"/>
        </w:rPr>
      </w:pPr>
      <w:bookmarkStart w:id="744" w:name="_Toc146707228"/>
      <w:r>
        <w:rPr>
          <w:rFonts w:hint="eastAsia" w:ascii="黑体" w:hAnsi="黑体" w:eastAsia="黑体" w:cs="黑体"/>
          <w:szCs w:val="32"/>
        </w:rPr>
        <w:t>【改造类型】</w:t>
      </w:r>
      <w:bookmarkEnd w:id="744"/>
    </w:p>
    <w:p>
      <w:pPr>
        <w:ind w:firstLine="640"/>
      </w:pPr>
      <w:r>
        <w:rPr>
          <w:rFonts w:hint="eastAsia"/>
        </w:rPr>
        <w:t>旧城镇改造包括以下类型：</w:t>
      </w:r>
    </w:p>
    <w:p>
      <w:pPr>
        <w:ind w:firstLine="640"/>
      </w:pPr>
      <w:r>
        <w:rPr>
          <w:rFonts w:hint="eastAsia"/>
        </w:rPr>
        <w:t>（一）全面改造。对危破房分布集中、城市功能布局明显不合理的区域，可以按照国土空间规划实施成片重建改造。对于规模较大的旧城镇全面改造项目，可以先复建安置后启动改造拆迁，并探索零星自愿申请改造、成片协商收储改造与国有土地上房屋征收相结合的改造模式。</w:t>
      </w:r>
    </w:p>
    <w:p>
      <w:pPr>
        <w:ind w:firstLine="640"/>
      </w:pPr>
      <w:r>
        <w:rPr>
          <w:rFonts w:hint="eastAsia"/>
        </w:rPr>
        <w:t>（二）微改造。</w:t>
      </w:r>
    </w:p>
    <w:p>
      <w:pPr>
        <w:ind w:firstLine="640"/>
      </w:pPr>
      <w:r>
        <w:rPr>
          <w:rFonts w:hint="eastAsia"/>
        </w:rPr>
        <w:t>1.整治修缮。对零散分布的危破房或部分结构相对较好但建筑和环境设施标准较低的老旧小区，可结合街区综合整治，采取维修、重建、强化安全防护措施、功能置换等多种改造方式。</w:t>
      </w:r>
    </w:p>
    <w:p>
      <w:pPr>
        <w:ind w:firstLine="640"/>
      </w:pPr>
      <w:r>
        <w:rPr>
          <w:rFonts w:hint="eastAsia"/>
        </w:rPr>
        <w:t>2.历史文化保护性整治。对历史城区、历史文化名镇、历史文化街区、历史风貌区、不可移动文物、历史建筑、传统风貌建筑，应当坚持以用促保的原则进行保护性整治改造。</w:t>
      </w:r>
    </w:p>
    <w:p>
      <w:pPr>
        <w:ind w:firstLine="640"/>
      </w:pPr>
      <w:r>
        <w:rPr>
          <w:rFonts w:hint="eastAsia"/>
        </w:rPr>
        <w:t>（三）混合改造。</w:t>
      </w:r>
      <w:r>
        <w:rPr>
          <w:rFonts w:hint="eastAsia" w:ascii="仿宋_GB2312" w:cs="仿宋"/>
          <w:bCs/>
          <w:szCs w:val="32"/>
        </w:rPr>
        <w:t>指全面改造和微改造相结合的类型</w:t>
      </w:r>
      <w:r>
        <w:rPr>
          <w:rFonts w:hint="eastAsia"/>
        </w:rPr>
        <w:t>。</w:t>
      </w:r>
    </w:p>
    <w:p>
      <w:pPr>
        <w:numPr>
          <w:ilvl w:val="0"/>
          <w:numId w:val="3"/>
        </w:numPr>
        <w:ind w:firstLineChars="0"/>
        <w:outlineLvl w:val="1"/>
        <w:rPr>
          <w:rFonts w:ascii="黑体" w:hAnsi="黑体" w:eastAsia="黑体" w:cs="黑体"/>
          <w:szCs w:val="32"/>
        </w:rPr>
      </w:pPr>
      <w:bookmarkStart w:id="745" w:name="_Toc146707229"/>
      <w:r>
        <w:rPr>
          <w:rFonts w:hint="eastAsia" w:ascii="黑体" w:hAnsi="黑体" w:eastAsia="黑体" w:cs="黑体"/>
          <w:szCs w:val="32"/>
        </w:rPr>
        <w:t>【基础数据调查】</w:t>
      </w:r>
      <w:bookmarkEnd w:id="745"/>
    </w:p>
    <w:p>
      <w:pPr>
        <w:ind w:firstLine="640"/>
        <w:rPr>
          <w:shd w:val="clear" w:color="auto" w:fill="FFFFFF"/>
        </w:rPr>
      </w:pPr>
      <w:r>
        <w:rPr>
          <w:rFonts w:hint="eastAsia"/>
        </w:rPr>
        <w:t>对于纳入</w:t>
      </w:r>
      <w:bookmarkStart w:id="746" w:name="_Hlk39739411"/>
      <w:r>
        <w:rPr>
          <w:rFonts w:hint="eastAsia"/>
        </w:rPr>
        <w:t>城市更新项目储备库</w:t>
      </w:r>
      <w:bookmarkEnd w:id="746"/>
      <w:r>
        <w:rPr>
          <w:rFonts w:hint="eastAsia"/>
        </w:rPr>
        <w:t>的旧城镇改造项目，由区</w:t>
      </w:r>
      <w:bookmarkStart w:id="747" w:name="_Hlk153524518"/>
      <w:r>
        <w:rPr>
          <w:rFonts w:hint="eastAsia"/>
        </w:rPr>
        <w:t>人民</w:t>
      </w:r>
      <w:bookmarkEnd w:id="747"/>
      <w:r>
        <w:rPr>
          <w:rFonts w:hint="eastAsia"/>
        </w:rPr>
        <w:t>政府组织对改造范围内的人口、户数、土地、房屋、改造意愿、公共服务设施、历史文化遗产等进行详细调查。</w:t>
      </w:r>
      <w:r>
        <w:rPr>
          <w:rFonts w:hint="eastAsia"/>
          <w:shd w:val="clear" w:color="auto" w:fill="FFFFFF"/>
        </w:rPr>
        <w:t>其中，人口、户数等信息由户籍管理部门出具意见；土地、房屋现状调查由区规划和自然资源部门根据有资质的测绘机构出具的土地勘测定界技术报告书、房屋测绘成果，对土地权属和用地证明文件以及房屋产权登记查册表等资料审核出具意见，并经区人民政府审查确认；对文化遗存、有保留价值的建筑、古树名木等应当征询文化、规划和自然资源、林业和园林部门意见；对现状交通和市政配套设施、公共服务设施情况以及现行国土空间详细规划及上层次规划的要求应当征询规划和自然资源部门意见。</w:t>
      </w:r>
    </w:p>
    <w:p>
      <w:pPr>
        <w:numPr>
          <w:ilvl w:val="0"/>
          <w:numId w:val="3"/>
        </w:numPr>
        <w:ind w:firstLineChars="0"/>
        <w:outlineLvl w:val="1"/>
        <w:rPr>
          <w:rFonts w:ascii="黑体" w:hAnsi="黑体" w:eastAsia="黑体" w:cs="黑体"/>
          <w:szCs w:val="32"/>
        </w:rPr>
      </w:pPr>
      <w:bookmarkStart w:id="748" w:name="_Toc146707230"/>
      <w:r>
        <w:rPr>
          <w:rFonts w:hint="eastAsia" w:ascii="黑体" w:hAnsi="黑体" w:eastAsia="黑体" w:cs="黑体"/>
          <w:szCs w:val="32"/>
        </w:rPr>
        <w:t>【方案编制】</w:t>
      </w:r>
      <w:bookmarkEnd w:id="748"/>
    </w:p>
    <w:p>
      <w:pPr>
        <w:ind w:firstLine="640"/>
      </w:pPr>
      <w:r>
        <w:rPr>
          <w:rFonts w:hint="eastAsia"/>
        </w:rPr>
        <w:t>全面改造、混合改造项目由市住房城乡建设行政主管部门、属地区人民政府按照《广州市旧村庄旧厂房旧城镇实施办法》的有关规定编制和报批片区策划方案、项目实施方案。</w:t>
      </w:r>
    </w:p>
    <w:p>
      <w:pPr>
        <w:ind w:firstLine="640"/>
      </w:pPr>
      <w:r>
        <w:rPr>
          <w:rFonts w:hint="eastAsia"/>
        </w:rPr>
        <w:t>微改造项目由区人民政府按照有关技术规范，组织编制项目实施方案，结合片区策划方案、现状调查成果，明确改造范围、改造内容、设计方案、改造成本与资金来源、历史文化遗产保护及树木保护措施、改造效益等内容。</w:t>
      </w:r>
    </w:p>
    <w:p>
      <w:pPr>
        <w:numPr>
          <w:ilvl w:val="0"/>
          <w:numId w:val="3"/>
        </w:numPr>
        <w:ind w:firstLineChars="0"/>
        <w:outlineLvl w:val="1"/>
        <w:rPr>
          <w:rFonts w:ascii="黑体" w:hAnsi="黑体" w:eastAsia="黑体" w:cs="黑体"/>
          <w:szCs w:val="32"/>
        </w:rPr>
      </w:pPr>
      <w:bookmarkStart w:id="749" w:name="_Toc146707231"/>
      <w:r>
        <w:rPr>
          <w:rFonts w:hint="eastAsia" w:ascii="黑体" w:hAnsi="黑体" w:eastAsia="黑体" w:cs="黑体"/>
          <w:szCs w:val="32"/>
        </w:rPr>
        <w:t>【意愿征询】</w:t>
      </w:r>
      <w:bookmarkEnd w:id="749"/>
    </w:p>
    <w:p>
      <w:pPr>
        <w:ind w:firstLine="640"/>
      </w:pPr>
      <w:r>
        <w:rPr>
          <w:rFonts w:hint="eastAsia"/>
        </w:rPr>
        <w:t>全面改造项目及混合改造项目涉及全面改造的部分应当按照以下规定征求改造范围内房屋所有权人的意见：</w:t>
      </w:r>
    </w:p>
    <w:p>
      <w:pPr>
        <w:ind w:firstLine="640"/>
      </w:pPr>
      <w:r>
        <w:rPr>
          <w:rFonts w:hint="eastAsia"/>
        </w:rPr>
        <w:t>（一）第一轮，经改造范围内建筑面积占比</w:t>
      </w:r>
      <w:r>
        <w:t>90%</w:t>
      </w:r>
      <w:r>
        <w:rPr>
          <w:rFonts w:hint="eastAsia"/>
        </w:rPr>
        <w:t>以上（含</w:t>
      </w:r>
      <w:r>
        <w:t>90%</w:t>
      </w:r>
      <w:r>
        <w:rPr>
          <w:rFonts w:hint="eastAsia"/>
        </w:rPr>
        <w:t>）的房屋所有权人且人数占比90%以上（含</w:t>
      </w:r>
      <w:r>
        <w:t>90%</w:t>
      </w:r>
      <w:r>
        <w:rPr>
          <w:rFonts w:hint="eastAsia"/>
        </w:rPr>
        <w:t>）的房屋所有权人同意改造的，方可启动改造；</w:t>
      </w:r>
    </w:p>
    <w:p>
      <w:pPr>
        <w:ind w:firstLine="640"/>
      </w:pPr>
      <w:r>
        <w:rPr>
          <w:rFonts w:hint="eastAsia"/>
        </w:rPr>
        <w:t>（二）第二轮，征询改造范围内房屋所有权人对补偿安置方案的意见，在规定时间内，签订附生效条件的房屋补偿安置协议的建筑面积占比和房屋所有权人人数占比均达到</w:t>
      </w:r>
      <w:r>
        <w:t>2/3</w:t>
      </w:r>
      <w:r>
        <w:rPr>
          <w:rFonts w:hint="eastAsia"/>
        </w:rPr>
        <w:t>以上（含</w:t>
      </w:r>
      <w:r>
        <w:t>2/3</w:t>
      </w:r>
      <w:r>
        <w:rPr>
          <w:rFonts w:hint="eastAsia"/>
        </w:rPr>
        <w:t>）的，方可实施房屋拆卸。</w:t>
      </w:r>
    </w:p>
    <w:p>
      <w:pPr>
        <w:ind w:firstLine="640"/>
      </w:pPr>
      <w:r>
        <w:rPr>
          <w:rFonts w:hint="eastAsia"/>
        </w:rPr>
        <w:t>微改造项目应当征询改造范围内房屋所有权人的意愿，对房屋所有权人支持率高、自愿出资、配合实施后续管养或有社会资本投资额度较大的微改造项目，优先纳入年度计划。</w:t>
      </w:r>
    </w:p>
    <w:p>
      <w:pPr>
        <w:numPr>
          <w:ilvl w:val="0"/>
          <w:numId w:val="3"/>
        </w:numPr>
        <w:ind w:firstLineChars="0"/>
        <w:outlineLvl w:val="1"/>
        <w:rPr>
          <w:rFonts w:ascii="黑体" w:hAnsi="黑体" w:eastAsia="黑体" w:cs="黑体"/>
          <w:szCs w:val="32"/>
        </w:rPr>
      </w:pPr>
      <w:bookmarkStart w:id="750" w:name="_Toc146707233"/>
      <w:r>
        <w:rPr>
          <w:rFonts w:hint="eastAsia" w:ascii="黑体" w:hAnsi="黑体" w:eastAsia="黑体" w:cs="黑体"/>
          <w:szCs w:val="32"/>
        </w:rPr>
        <w:t>【资金筹措】</w:t>
      </w:r>
      <w:bookmarkEnd w:id="750"/>
    </w:p>
    <w:p>
      <w:pPr>
        <w:ind w:firstLine="640"/>
        <w:rPr>
          <w:szCs w:val="32"/>
        </w:rPr>
      </w:pPr>
      <w:r>
        <w:rPr>
          <w:rFonts w:hint="eastAsia"/>
          <w:szCs w:val="32"/>
        </w:rPr>
        <w:t>旧城镇全面改造或混合改造项目可采取以下方式筹措改造资金：</w:t>
      </w:r>
    </w:p>
    <w:p>
      <w:pPr>
        <w:ind w:firstLine="640"/>
        <w:rPr>
          <w:szCs w:val="32"/>
        </w:rPr>
      </w:pPr>
      <w:r>
        <w:rPr>
          <w:rFonts w:hint="eastAsia"/>
          <w:szCs w:val="32"/>
        </w:rPr>
        <w:t>（一）区人民政府通过公开方式选择市场主体，由市场主体</w:t>
      </w:r>
      <w:r>
        <w:rPr>
          <w:rFonts w:hint="eastAsia" w:ascii="仿宋_GB2312" w:hAnsi="等线"/>
          <w:szCs w:val="32"/>
        </w:rPr>
        <w:t>与土地储备机构签订土地收储补偿协议，</w:t>
      </w:r>
      <w:r>
        <w:rPr>
          <w:rFonts w:hint="eastAsia"/>
          <w:szCs w:val="32"/>
        </w:rPr>
        <w:t>具体实施拆迁补偿安置和土地整理</w:t>
      </w:r>
      <w:r>
        <w:rPr>
          <w:rFonts w:hint="eastAsia" w:ascii="仿宋_GB2312" w:hAnsi="等线"/>
          <w:szCs w:val="32"/>
        </w:rPr>
        <w:t>。</w:t>
      </w:r>
      <w:r>
        <w:rPr>
          <w:rFonts w:hint="eastAsia"/>
          <w:szCs w:val="32"/>
        </w:rPr>
        <w:t>政府公开出让土地后，土地</w:t>
      </w:r>
      <w:r>
        <w:rPr>
          <w:rFonts w:hint="eastAsia" w:ascii="仿宋_GB2312" w:hAnsi="等线"/>
          <w:szCs w:val="32"/>
        </w:rPr>
        <w:t>储备机构根据协议约定向</w:t>
      </w:r>
      <w:r>
        <w:rPr>
          <w:rFonts w:hint="eastAsia"/>
          <w:szCs w:val="32"/>
        </w:rPr>
        <w:t>市场主体</w:t>
      </w:r>
      <w:r>
        <w:rPr>
          <w:rFonts w:hint="eastAsia" w:ascii="仿宋_GB2312" w:hAnsi="等线"/>
          <w:szCs w:val="32"/>
        </w:rPr>
        <w:t>支付土地收储补偿款。</w:t>
      </w:r>
    </w:p>
    <w:p>
      <w:pPr>
        <w:ind w:firstLine="640"/>
        <w:rPr>
          <w:szCs w:val="32"/>
        </w:rPr>
      </w:pPr>
      <w:r>
        <w:rPr>
          <w:rFonts w:hint="eastAsia"/>
          <w:szCs w:val="32"/>
        </w:rPr>
        <w:t>（二）在确定开发建设条件的前提下，由区人民政府作为征收主体，将拆迁工作及拟改造土地的使用权一并通过招标、拍卖或者挂牌方式确定改造主体，待完成拆迁补偿后，与改造主体签订土地使用权出让合同、</w:t>
      </w:r>
      <w:r>
        <w:rPr>
          <w:rFonts w:hint="eastAsia"/>
        </w:rPr>
        <w:t>项目实施监管协议，土地出让金按实际成交价减去</w:t>
      </w:r>
      <w:r>
        <w:rPr>
          <w:rFonts w:hint="eastAsia"/>
          <w:szCs w:val="32"/>
        </w:rPr>
        <w:t>招标、拍卖或者挂牌出让公告</w:t>
      </w:r>
      <w:r>
        <w:rPr>
          <w:rFonts w:hint="eastAsia"/>
        </w:rPr>
        <w:t>明确的改造成本确定。涉及分期出让的，每宗地的土地出让金为按该宗地评估价值与改造范围内所有地块评估价值的比例，乘以共需缴纳的土地出让金核算土地出让金</w:t>
      </w:r>
      <w:r>
        <w:rPr>
          <w:rFonts w:hint="eastAsia"/>
          <w:szCs w:val="32"/>
        </w:rPr>
        <w:t>。</w:t>
      </w:r>
    </w:p>
    <w:p>
      <w:pPr>
        <w:ind w:firstLine="640"/>
        <w:rPr>
          <w:szCs w:val="32"/>
        </w:rPr>
      </w:pPr>
      <w:r>
        <w:rPr>
          <w:rFonts w:hint="eastAsia"/>
          <w:szCs w:val="32"/>
        </w:rPr>
        <w:t>（三）由改造范围内的房屋所有权人</w:t>
      </w:r>
      <w:r>
        <w:rPr>
          <w:rFonts w:hint="eastAsia"/>
        </w:rPr>
        <w:t>直接出资，</w:t>
      </w:r>
      <w:r>
        <w:rPr>
          <w:rFonts w:hint="eastAsia"/>
          <w:szCs w:val="32"/>
        </w:rPr>
        <w:t>作为改造主体</w:t>
      </w:r>
      <w:r>
        <w:rPr>
          <w:rFonts w:hint="eastAsia"/>
          <w:color w:val="333333"/>
          <w:shd w:val="clear" w:color="auto" w:fill="FFFFFF"/>
        </w:rPr>
        <w:t>实施改造。</w:t>
      </w:r>
    </w:p>
    <w:p>
      <w:pPr>
        <w:ind w:firstLine="640"/>
        <w:rPr>
          <w:szCs w:val="32"/>
        </w:rPr>
      </w:pPr>
      <w:r>
        <w:rPr>
          <w:rFonts w:hint="eastAsia"/>
          <w:szCs w:val="32"/>
        </w:rPr>
        <w:t>旧城镇微改造项目引入社会资本参与投资、设计、建设、运营和管养等实施工作的，可以通过提供公共服务和增值服务产生的收益平衡前期投入。</w:t>
      </w:r>
    </w:p>
    <w:p>
      <w:pPr>
        <w:numPr>
          <w:ilvl w:val="0"/>
          <w:numId w:val="3"/>
        </w:numPr>
        <w:ind w:firstLineChars="0"/>
        <w:outlineLvl w:val="1"/>
        <w:rPr>
          <w:rFonts w:ascii="黑体" w:hAnsi="黑体" w:eastAsia="黑体" w:cs="黑体"/>
          <w:szCs w:val="32"/>
        </w:rPr>
      </w:pPr>
      <w:bookmarkStart w:id="751" w:name="_Toc146707234"/>
      <w:r>
        <w:rPr>
          <w:rFonts w:hint="eastAsia" w:ascii="黑体" w:hAnsi="黑体" w:eastAsia="黑体" w:cs="黑体"/>
          <w:szCs w:val="32"/>
        </w:rPr>
        <w:t>【征收补偿安置方案】</w:t>
      </w:r>
      <w:bookmarkEnd w:id="751"/>
    </w:p>
    <w:p>
      <w:pPr>
        <w:ind w:firstLine="640"/>
        <w:rPr>
          <w:kern w:val="0"/>
          <w:shd w:val="clear" w:color="auto" w:fill="FFFFFF"/>
        </w:rPr>
      </w:pPr>
      <w:r>
        <w:rPr>
          <w:rFonts w:hint="eastAsia"/>
        </w:rPr>
        <w:t>区人民政府负责组织编制旧城镇全面改造项目、混合改造项目涉及全面改造部分的征收补偿安置方案。旧城镇改造征收补偿安置标准按照本市国有土地上房屋征收有关政策和标准执行。</w:t>
      </w:r>
    </w:p>
    <w:p>
      <w:pPr>
        <w:numPr>
          <w:ilvl w:val="0"/>
          <w:numId w:val="3"/>
        </w:numPr>
        <w:ind w:firstLineChars="0"/>
        <w:outlineLvl w:val="1"/>
        <w:rPr>
          <w:rFonts w:ascii="黑体" w:hAnsi="黑体" w:eastAsia="黑体" w:cs="黑体"/>
          <w:szCs w:val="32"/>
        </w:rPr>
      </w:pPr>
      <w:bookmarkStart w:id="752" w:name="_Toc146707235"/>
      <w:r>
        <w:rPr>
          <w:rFonts w:hint="eastAsia" w:ascii="黑体" w:hAnsi="黑体" w:eastAsia="黑体" w:cs="黑体"/>
          <w:szCs w:val="32"/>
        </w:rPr>
        <w:t>【安置房规划建设】</w:t>
      </w:r>
      <w:bookmarkEnd w:id="752"/>
    </w:p>
    <w:p>
      <w:pPr>
        <w:ind w:firstLine="640"/>
        <w:rPr>
          <w:szCs w:val="32"/>
        </w:rPr>
      </w:pPr>
      <w:r>
        <w:rPr>
          <w:rFonts w:hint="eastAsia"/>
          <w:szCs w:val="32"/>
        </w:rPr>
        <w:t>由政府组织实施的旧城镇全面改造项目、混合改造项目，市、区人民政府应当采取自建、配建、购买及盘活等多种方式负责筹措安置房源，可以</w:t>
      </w:r>
      <w:r>
        <w:rPr>
          <w:rFonts w:hint="eastAsia"/>
        </w:rPr>
        <w:t>结合旧厂房、旧村庄改造，选址建设适配、紧凑、节地型的跨区域异地安置社区，加快配套安置房建设；同步推进异地安置房项目的市政、公建、公用、公交等配套设施建设。</w:t>
      </w:r>
    </w:p>
    <w:p>
      <w:pPr>
        <w:ind w:firstLine="640"/>
        <w:rPr>
          <w:szCs w:val="32"/>
        </w:rPr>
      </w:pPr>
      <w:r>
        <w:rPr>
          <w:rFonts w:hint="eastAsia"/>
        </w:rPr>
        <w:t>市、区规划和自然资源部门应当落实安置房用地，纳入土地供应年度计划优先保障。</w:t>
      </w:r>
      <w:r>
        <w:rPr>
          <w:rFonts w:hint="eastAsia"/>
          <w:szCs w:val="32"/>
        </w:rPr>
        <w:t>市住房城乡建设行政</w:t>
      </w:r>
      <w:r>
        <w:rPr>
          <w:rFonts w:hint="eastAsia"/>
        </w:rPr>
        <w:t>主管</w:t>
      </w:r>
      <w:r>
        <w:rPr>
          <w:rFonts w:hint="eastAsia"/>
          <w:szCs w:val="32"/>
        </w:rPr>
        <w:t>部门负责统筹使用、分配各种政府安置房源，将适配的房源优先用于旧城镇改造补偿安置。</w:t>
      </w:r>
    </w:p>
    <w:p>
      <w:pPr>
        <w:ind w:firstLine="640"/>
      </w:pPr>
      <w:r>
        <w:rPr>
          <w:rFonts w:hint="eastAsia"/>
          <w:szCs w:val="32"/>
        </w:rPr>
        <w:t>由</w:t>
      </w:r>
      <w:r>
        <w:rPr>
          <w:rFonts w:hint="eastAsia"/>
        </w:rPr>
        <w:t>市场主体实施的</w:t>
      </w:r>
      <w:r>
        <w:rPr>
          <w:rFonts w:hint="eastAsia"/>
          <w:szCs w:val="32"/>
        </w:rPr>
        <w:t>旧城镇全面改造项目、混合改造项目</w:t>
      </w:r>
      <w:r>
        <w:rPr>
          <w:rFonts w:hint="eastAsia"/>
        </w:rPr>
        <w:t>，应当先行启动安置房建设，及时妥善安置动迁居民。</w:t>
      </w:r>
    </w:p>
    <w:p>
      <w:pPr>
        <w:ind w:firstLine="640"/>
      </w:pPr>
      <w:r>
        <w:rPr>
          <w:rFonts w:hint="eastAsia"/>
        </w:rPr>
        <w:t>鼓励在保证工程质量的前提下，积极使用模块化建筑等快速建造、智能建造技术，加快安置房建设。</w:t>
      </w:r>
    </w:p>
    <w:p>
      <w:pPr>
        <w:pStyle w:val="54"/>
        <w:numPr>
          <w:ilvl w:val="0"/>
          <w:numId w:val="3"/>
        </w:numPr>
        <w:ind w:firstLineChars="0"/>
        <w:outlineLvl w:val="1"/>
      </w:pPr>
      <w:r>
        <w:rPr>
          <w:rFonts w:hint="eastAsia" w:ascii="黑体" w:hAnsi="黑体" w:eastAsia="黑体" w:cs="黑体"/>
          <w:szCs w:val="32"/>
        </w:rPr>
        <w:t>【复建安置资金监管】</w:t>
      </w:r>
    </w:p>
    <w:p>
      <w:pPr>
        <w:ind w:firstLine="640"/>
      </w:pPr>
      <w:bookmarkStart w:id="753" w:name="_Toc146707236"/>
      <w:r>
        <w:rPr>
          <w:rFonts w:hint="eastAsia"/>
        </w:rPr>
        <w:t>除由政府征收储备的旧城镇改造项目外，涉及复建安置的旧城镇改造项目，应当开设复建安置资金监管账户，由</w:t>
      </w:r>
      <w:r>
        <w:rPr>
          <w:rFonts w:hint="eastAsia"/>
          <w:szCs w:val="28"/>
        </w:rPr>
        <w:t>区“三旧”改造部门与开户银行、改造主体等签订复建安置资金监管协议，</w:t>
      </w:r>
      <w:r>
        <w:rPr>
          <w:rFonts w:hint="eastAsia"/>
        </w:rPr>
        <w:t>对资金的使用进行监管，确保专款专用。复建安置资金应当足额缴存，可</w:t>
      </w:r>
      <w:r>
        <w:rPr>
          <w:lang w:val="en"/>
        </w:rPr>
        <w:t>以</w:t>
      </w:r>
      <w:r>
        <w:rPr>
          <w:rFonts w:hint="eastAsia"/>
        </w:rPr>
        <w:t>采用无条件银行履约保函加现金方式缴存。</w:t>
      </w:r>
    </w:p>
    <w:p>
      <w:pPr>
        <w:numPr>
          <w:ilvl w:val="0"/>
          <w:numId w:val="3"/>
        </w:numPr>
        <w:ind w:firstLineChars="0"/>
        <w:outlineLvl w:val="1"/>
        <w:rPr>
          <w:rFonts w:ascii="黑体" w:hAnsi="黑体" w:eastAsia="黑体" w:cs="黑体"/>
          <w:szCs w:val="32"/>
        </w:rPr>
      </w:pPr>
      <w:r>
        <w:rPr>
          <w:rFonts w:hint="eastAsia" w:ascii="黑体" w:hAnsi="黑体" w:eastAsia="黑体" w:cs="黑体"/>
          <w:szCs w:val="32"/>
        </w:rPr>
        <w:t>【激励措施】</w:t>
      </w:r>
      <w:bookmarkEnd w:id="753"/>
    </w:p>
    <w:p>
      <w:pPr>
        <w:ind w:firstLine="640"/>
        <w:rPr>
          <w:szCs w:val="32"/>
        </w:rPr>
      </w:pPr>
      <w:r>
        <w:rPr>
          <w:rFonts w:hint="eastAsia"/>
          <w:szCs w:val="32"/>
        </w:rPr>
        <w:t>符合以下情况的微改造项目，应当给予鼓励或奖励：</w:t>
      </w:r>
    </w:p>
    <w:p>
      <w:pPr>
        <w:ind w:firstLine="640"/>
        <w:rPr>
          <w:szCs w:val="32"/>
        </w:rPr>
      </w:pPr>
      <w:r>
        <w:rPr>
          <w:rFonts w:hint="eastAsia"/>
          <w:szCs w:val="32"/>
        </w:rPr>
        <w:t>（一）在传统商住混合的用地格局及现状商业氛围浓厚的临主街一线界面，允许有条件地变更建筑使用用途；</w:t>
      </w:r>
    </w:p>
    <w:p>
      <w:pPr>
        <w:ind w:firstLine="640"/>
        <w:rPr>
          <w:szCs w:val="32"/>
        </w:rPr>
      </w:pPr>
      <w:r>
        <w:rPr>
          <w:rFonts w:hint="eastAsia"/>
          <w:szCs w:val="32"/>
        </w:rPr>
        <w:t>（二）鼓励历史文化遗产多功能使用，按照规定调整使用功能、合理增加使用面积、开展修缮维护、依法申领修缮补助等；</w:t>
      </w:r>
    </w:p>
    <w:p>
      <w:pPr>
        <w:ind w:firstLine="640"/>
        <w:rPr>
          <w:szCs w:val="32"/>
        </w:rPr>
      </w:pPr>
      <w:r>
        <w:rPr>
          <w:rFonts w:hint="eastAsia"/>
          <w:szCs w:val="32"/>
        </w:rPr>
        <w:t>（三）为地区提供公益性设施或公共开敞空间的，在原有地块建筑总量的基础上，可获得奖励，适当增加经营性建筑面积；</w:t>
      </w:r>
    </w:p>
    <w:p>
      <w:pPr>
        <w:ind w:firstLine="640"/>
        <w:rPr>
          <w:szCs w:val="32"/>
        </w:rPr>
      </w:pPr>
      <w:r>
        <w:rPr>
          <w:rFonts w:hint="eastAsia"/>
          <w:szCs w:val="32"/>
        </w:rPr>
        <w:t>（四）在不违反规划且征得房屋所有权人同意的前提下，允许利用老旧小区及周边存量土地建设各类环境及配套设施和公共服务设施。对利用小区内空地、绿地等加装电梯和建设各类设施的，可不增收土地价款。</w:t>
      </w:r>
    </w:p>
    <w:p>
      <w:pPr>
        <w:numPr>
          <w:ilvl w:val="0"/>
          <w:numId w:val="3"/>
        </w:numPr>
        <w:ind w:firstLineChars="0"/>
        <w:outlineLvl w:val="1"/>
        <w:rPr>
          <w:rFonts w:ascii="黑体" w:hAnsi="黑体" w:eastAsia="黑体" w:cs="黑体"/>
          <w:szCs w:val="32"/>
        </w:rPr>
      </w:pPr>
      <w:bookmarkStart w:id="754" w:name="_Toc146707237"/>
      <w:r>
        <w:rPr>
          <w:rFonts w:hint="eastAsia" w:ascii="黑体" w:hAnsi="黑体" w:eastAsia="黑体" w:cs="黑体"/>
          <w:szCs w:val="32"/>
        </w:rPr>
        <w:t>【管控方式和技术标准】</w:t>
      </w:r>
      <w:bookmarkEnd w:id="754"/>
    </w:p>
    <w:p>
      <w:pPr>
        <w:ind w:firstLine="640"/>
        <w:rPr>
          <w:szCs w:val="32"/>
        </w:rPr>
      </w:pPr>
      <w:r>
        <w:rPr>
          <w:rFonts w:hint="eastAsia"/>
          <w:szCs w:val="32"/>
        </w:rPr>
        <w:t>对旧城镇改造，应当采取不同于新区开发建设管控方式，采用适用于传统旧街区的规划技术标准，尤其是街区建筑密度、绿地率、建筑间距、消防技术要求、停车配套等方面的标准和规范。</w:t>
      </w:r>
    </w:p>
    <w:p>
      <w:pPr>
        <w:ind w:firstLine="640"/>
        <w:rPr>
          <w:szCs w:val="32"/>
        </w:rPr>
      </w:pPr>
      <w:r>
        <w:rPr>
          <w:rFonts w:hint="eastAsia"/>
          <w:szCs w:val="32"/>
        </w:rPr>
        <w:t>微改造项目受条件限制难以满足环境保护、消防安全、卫生防疫等法律、法规和现行技术标准的，可以综合运用新技术、新设备、加强性管理等保障措施，经生态环境、住房和城乡建设、消防救援、卫生健康等</w:t>
      </w:r>
      <w:r>
        <w:rPr>
          <w:rFonts w:hint="eastAsia"/>
        </w:rPr>
        <w:t>行业主管部门分别组织</w:t>
      </w:r>
      <w:r>
        <w:rPr>
          <w:rFonts w:hint="eastAsia"/>
          <w:szCs w:val="32"/>
        </w:rPr>
        <w:t>专家评审论证通过后实施。</w:t>
      </w:r>
    </w:p>
    <w:p>
      <w:pPr>
        <w:numPr>
          <w:ilvl w:val="0"/>
          <w:numId w:val="3"/>
        </w:numPr>
        <w:ind w:firstLineChars="0"/>
        <w:outlineLvl w:val="1"/>
        <w:rPr>
          <w:rFonts w:ascii="黑体" w:hAnsi="黑体" w:eastAsia="黑体" w:cs="黑体"/>
          <w:szCs w:val="32"/>
        </w:rPr>
      </w:pPr>
      <w:bookmarkStart w:id="755" w:name="_Toc146707238"/>
      <w:r>
        <w:rPr>
          <w:rFonts w:hint="eastAsia" w:ascii="黑体" w:hAnsi="黑体" w:eastAsia="黑体" w:cs="黑体"/>
          <w:szCs w:val="32"/>
        </w:rPr>
        <w:t>【成本构成】</w:t>
      </w:r>
      <w:bookmarkEnd w:id="755"/>
    </w:p>
    <w:p>
      <w:pPr>
        <w:ind w:firstLine="640"/>
      </w:pPr>
      <w:r>
        <w:rPr>
          <w:rFonts w:hint="eastAsia"/>
        </w:rPr>
        <w:t>旧城镇全面改造及混合改造中全面改造的部分可核算的改造成本，包括前期费用、拆迁费用、补偿安置费用、复建费用、其他费用等，成本核算结果可作为计算改造地块土地出让金的参考要素。</w:t>
      </w:r>
    </w:p>
    <w:p>
      <w:pPr>
        <w:numPr>
          <w:ilvl w:val="0"/>
          <w:numId w:val="3"/>
        </w:numPr>
        <w:ind w:firstLineChars="0"/>
        <w:outlineLvl w:val="1"/>
        <w:rPr>
          <w:rFonts w:ascii="黑体" w:hAnsi="黑体" w:eastAsia="黑体" w:cs="黑体"/>
          <w:szCs w:val="32"/>
        </w:rPr>
      </w:pPr>
      <w:bookmarkStart w:id="756" w:name="_Toc129628633"/>
      <w:bookmarkStart w:id="757" w:name="_Toc146707239"/>
      <w:bookmarkStart w:id="758" w:name="_Toc130396193"/>
      <w:r>
        <w:rPr>
          <w:rFonts w:hint="eastAsia" w:ascii="黑体" w:hAnsi="黑体" w:eastAsia="黑体" w:cs="黑体"/>
          <w:szCs w:val="32"/>
        </w:rPr>
        <w:t>【事权下放】</w:t>
      </w:r>
      <w:bookmarkEnd w:id="756"/>
      <w:bookmarkEnd w:id="757"/>
      <w:bookmarkEnd w:id="758"/>
    </w:p>
    <w:p>
      <w:pPr>
        <w:ind w:firstLine="640"/>
      </w:pPr>
      <w:r>
        <w:rPr>
          <w:rFonts w:hint="eastAsia"/>
        </w:rPr>
        <w:t>符合详细规划的旧城镇改造片区策划方案、实施方案的审定事权委托给各区人民政府实施。</w:t>
      </w:r>
      <w:r>
        <w:rPr>
          <w:rFonts w:hint="eastAsia" w:ascii="仿宋_GB2312"/>
          <w:color w:val="000000"/>
          <w:szCs w:val="32"/>
          <w:shd w:val="clear" w:color="auto" w:fill="FFFFFF"/>
        </w:rPr>
        <w:t>黄埔区、南沙区、增城区、广州空港经济区按已经市政府下放或委托权限的有关规定办理。</w:t>
      </w:r>
    </w:p>
    <w:p>
      <w:pPr>
        <w:ind w:firstLine="640"/>
      </w:pPr>
      <w:r>
        <w:rPr>
          <w:rFonts w:hint="eastAsia"/>
        </w:rPr>
        <w:t>市城市更新领导机构应当建立工作机制，对区人民政府承接工作情况进行督导检查。区人民政府制定事权下放承接工作方案，明确操作标准和工作程序，规范旧城镇改造片区策划方案、实施方案审批工作。</w:t>
      </w:r>
    </w:p>
    <w:p>
      <w:pPr>
        <w:numPr>
          <w:ilvl w:val="0"/>
          <w:numId w:val="3"/>
        </w:numPr>
        <w:ind w:firstLineChars="0"/>
        <w:outlineLvl w:val="1"/>
        <w:rPr>
          <w:rFonts w:ascii="黑体" w:hAnsi="黑体" w:eastAsia="黑体" w:cs="黑体"/>
          <w:szCs w:val="32"/>
        </w:rPr>
      </w:pPr>
      <w:r>
        <w:rPr>
          <w:rFonts w:hint="eastAsia" w:ascii="黑体" w:hAnsi="黑体" w:eastAsia="黑体" w:cs="黑体"/>
          <w:szCs w:val="32"/>
        </w:rPr>
        <w:t>【退出机制】</w:t>
      </w:r>
    </w:p>
    <w:p>
      <w:pPr>
        <w:ind w:firstLine="640"/>
      </w:pPr>
      <w:r>
        <w:rPr>
          <w:rFonts w:hint="eastAsia"/>
        </w:rPr>
        <w:t>实施方案批复后</w:t>
      </w:r>
      <w:r>
        <w:t>3</w:t>
      </w:r>
      <w:r>
        <w:rPr>
          <w:rFonts w:hint="eastAsia"/>
        </w:rPr>
        <w:t>年内，签订房屋补偿安置协议的建筑面积占比和房屋所有权人人数占比均未达到</w:t>
      </w:r>
      <w:r>
        <w:t>2/3</w:t>
      </w:r>
      <w:r>
        <w:rPr>
          <w:rFonts w:hint="eastAsia"/>
        </w:rPr>
        <w:t>以上（含</w:t>
      </w:r>
      <w:r>
        <w:t>2/3</w:t>
      </w:r>
      <w:r>
        <w:rPr>
          <w:rFonts w:hint="eastAsia"/>
        </w:rPr>
        <w:t>）的，项目实施方案应当重新报批。</w:t>
      </w:r>
    </w:p>
    <w:p>
      <w:pPr>
        <w:ind w:firstLine="640"/>
        <w:rPr>
          <w:szCs w:val="32"/>
        </w:rPr>
      </w:pPr>
      <w:r>
        <w:rPr>
          <w:rFonts w:hint="eastAsia" w:cs="仿宋"/>
          <w:bCs/>
          <w:szCs w:val="28"/>
        </w:rPr>
        <w:t>因政策调整、规划调整、重大公共事件等不可抗力原因造成前款情况的，改造主体可以规定时限届满前6个月，向原审批机构申请延期。经原审批机构审议同意，可延期</w:t>
      </w:r>
      <w:r>
        <w:rPr>
          <w:rFonts w:cs="仿宋"/>
          <w:bCs/>
          <w:szCs w:val="28"/>
        </w:rPr>
        <w:t>2</w:t>
      </w:r>
      <w:r>
        <w:rPr>
          <w:rFonts w:hint="eastAsia" w:cs="仿宋"/>
          <w:bCs/>
          <w:szCs w:val="28"/>
        </w:rPr>
        <w:t>次，每次延长期限不超过</w:t>
      </w:r>
      <w:r>
        <w:rPr>
          <w:rFonts w:cs="仿宋"/>
          <w:bCs/>
          <w:szCs w:val="28"/>
        </w:rPr>
        <w:t>1</w:t>
      </w:r>
      <w:r>
        <w:rPr>
          <w:rFonts w:hint="eastAsia" w:cs="仿宋"/>
          <w:bCs/>
          <w:szCs w:val="28"/>
        </w:rPr>
        <w:t>年。</w:t>
      </w:r>
    </w:p>
    <w:p>
      <w:pPr>
        <w:numPr>
          <w:ilvl w:val="0"/>
          <w:numId w:val="3"/>
        </w:numPr>
        <w:ind w:firstLineChars="0"/>
        <w:outlineLvl w:val="1"/>
        <w:rPr>
          <w:rFonts w:ascii="黑体" w:hAnsi="黑体" w:eastAsia="黑体" w:cs="黑体"/>
          <w:szCs w:val="32"/>
        </w:rPr>
      </w:pPr>
      <w:bookmarkStart w:id="759" w:name="_Toc146707240"/>
      <w:r>
        <w:rPr>
          <w:rFonts w:hint="eastAsia" w:ascii="黑体" w:hAnsi="黑体" w:eastAsia="黑体" w:cs="黑体"/>
          <w:szCs w:val="32"/>
        </w:rPr>
        <w:t>【实施时间】</w:t>
      </w:r>
      <w:bookmarkEnd w:id="759"/>
    </w:p>
    <w:p>
      <w:pPr>
        <w:ind w:firstLine="640"/>
        <w:rPr>
          <w:szCs w:val="32"/>
        </w:rPr>
      </w:pPr>
      <w:r>
        <w:rPr>
          <w:rFonts w:hint="eastAsia"/>
          <w:szCs w:val="32"/>
        </w:rPr>
        <w:t>本细则自202</w:t>
      </w:r>
      <w:r>
        <w:rPr>
          <w:szCs w:val="32"/>
        </w:rPr>
        <w:t>4</w:t>
      </w:r>
      <w:r>
        <w:rPr>
          <w:rFonts w:hint="eastAsia"/>
          <w:szCs w:val="32"/>
        </w:rPr>
        <w:t>年</w:t>
      </w:r>
      <w:r>
        <w:rPr>
          <w:szCs w:val="32"/>
        </w:rPr>
        <w:t>X</w:t>
      </w:r>
      <w:r>
        <w:rPr>
          <w:rFonts w:hint="eastAsia"/>
          <w:szCs w:val="32"/>
        </w:rPr>
        <w:t>月</w:t>
      </w:r>
      <w:r>
        <w:rPr>
          <w:szCs w:val="32"/>
        </w:rPr>
        <w:t>X</w:t>
      </w:r>
      <w:r>
        <w:rPr>
          <w:rFonts w:hint="eastAsia"/>
          <w:szCs w:val="32"/>
        </w:rPr>
        <w:t>日起施行，有效期</w:t>
      </w:r>
      <w:r>
        <w:rPr>
          <w:szCs w:val="32"/>
        </w:rPr>
        <w:t>5</w:t>
      </w:r>
      <w:r>
        <w:rPr>
          <w:rFonts w:hint="eastAsia"/>
          <w:szCs w:val="32"/>
        </w:rPr>
        <w:t>年。</w:t>
      </w:r>
    </w:p>
    <w:p>
      <w:pPr>
        <w:pStyle w:val="30"/>
        <w:ind w:firstLine="400"/>
        <w:rPr>
          <w:rFonts w:hAnsi="黑体"/>
          <w:spacing w:val="-20"/>
          <w:szCs w:val="32"/>
        </w:rPr>
      </w:pPr>
    </w:p>
    <w:p>
      <w:pPr>
        <w:widowControl/>
        <w:shd w:val="clear" w:color="auto" w:fill="auto"/>
        <w:spacing w:line="240" w:lineRule="auto"/>
        <w:ind w:firstLine="0" w:firstLineChars="0"/>
        <w:jc w:val="left"/>
        <w:rPr>
          <w:rFonts w:eastAsia="楷体_GB2312" w:cs="仿宋"/>
          <w:sz w:val="24"/>
          <w:szCs w:val="18"/>
        </w:rPr>
      </w:pPr>
    </w:p>
    <w:p>
      <w:pPr>
        <w:pStyle w:val="30"/>
        <w:ind w:firstLine="480"/>
      </w:pPr>
    </w:p>
    <w:sectPr>
      <w:pgSz w:w="11907" w:h="16839"/>
      <w:pgMar w:top="1440" w:right="1800" w:bottom="1440" w:left="1800" w:header="851" w:footer="992" w:gutter="0"/>
      <w:pgNumType w:start="1"/>
      <w:cols w:space="720" w:num="1"/>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楷体">
    <w:panose1 w:val="02010609060101010101"/>
    <w:charset w:val="86"/>
    <w:family w:val="modern"/>
    <w:pitch w:val="default"/>
    <w:sig w:usb0="800002BF" w:usb1="38CF7CFA"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等线 Light">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firstLine="0" w:firstLineChars="0"/>
      <w:rPr>
        <w:rStyle w:val="20"/>
        <w:rFonts w:ascii="宋体"/>
        <w:sz w:val="28"/>
        <w:szCs w:val="28"/>
      </w:rPr>
    </w:pPr>
    <w:r>
      <w:rPr>
        <w:rStyle w:val="20"/>
        <w:rFonts w:hint="eastAsia" w:ascii="宋体" w:hAnsi="宋体" w:cs="宋体"/>
        <w:sz w:val="28"/>
        <w:szCs w:val="28"/>
      </w:rPr>
      <w:t xml:space="preserve">— </w:t>
    </w:r>
    <w:r>
      <w:rPr>
        <w:rFonts w:hint="eastAsia" w:ascii="宋体" w:hAnsi="宋体" w:cs="宋体"/>
        <w:sz w:val="28"/>
        <w:szCs w:val="28"/>
      </w:rPr>
      <w:fldChar w:fldCharType="begin"/>
    </w:r>
    <w:r>
      <w:rPr>
        <w:rStyle w:val="2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0"/>
        <w:rFonts w:ascii="宋体" w:hAnsi="宋体" w:cs="宋体"/>
        <w:sz w:val="28"/>
        <w:szCs w:val="28"/>
      </w:rPr>
      <w:t>21</w:t>
    </w:r>
    <w:r>
      <w:rPr>
        <w:rFonts w:hint="eastAsia" w:ascii="宋体" w:hAnsi="宋体" w:cs="宋体"/>
        <w:sz w:val="28"/>
        <w:szCs w:val="28"/>
      </w:rPr>
      <w:fldChar w:fldCharType="end"/>
    </w:r>
    <w:r>
      <w:rPr>
        <w:rStyle w:val="20"/>
        <w:rFonts w:hint="eastAsia" w:ascii="宋体" w:hAnsi="宋体" w:cs="宋体"/>
        <w:sz w:val="28"/>
        <w:szCs w:val="28"/>
      </w:rPr>
      <w:t xml:space="preserve"> —</w:t>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firstLine="0" w:firstLineChars="0"/>
      <w:rPr>
        <w:rStyle w:val="20"/>
        <w:rFonts w:ascii="宋体"/>
        <w:sz w:val="28"/>
        <w:szCs w:val="28"/>
      </w:rPr>
    </w:pPr>
    <w:r>
      <w:rPr>
        <w:rStyle w:val="20"/>
        <w:rFonts w:hint="eastAsia" w:ascii="宋体" w:hAnsi="宋体" w:cs="宋体"/>
        <w:sz w:val="28"/>
        <w:szCs w:val="28"/>
      </w:rPr>
      <w:t xml:space="preserve">— </w:t>
    </w:r>
    <w:r>
      <w:rPr>
        <w:rFonts w:hint="eastAsia" w:ascii="宋体" w:hAnsi="宋体" w:cs="宋体"/>
        <w:sz w:val="28"/>
        <w:szCs w:val="28"/>
      </w:rPr>
      <w:fldChar w:fldCharType="begin"/>
    </w:r>
    <w:r>
      <w:rPr>
        <w:rStyle w:val="20"/>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20"/>
        <w:rFonts w:ascii="宋体" w:hAnsi="宋体" w:cs="宋体"/>
        <w:sz w:val="28"/>
        <w:szCs w:val="28"/>
      </w:rPr>
      <w:t>2</w:t>
    </w:r>
    <w:r>
      <w:rPr>
        <w:rFonts w:hint="eastAsia" w:ascii="宋体" w:hAnsi="宋体" w:cs="宋体"/>
        <w:sz w:val="28"/>
        <w:szCs w:val="28"/>
      </w:rPr>
      <w:fldChar w:fldCharType="end"/>
    </w:r>
    <w:r>
      <w:rPr>
        <w:rStyle w:val="20"/>
        <w:rFonts w:hint="eastAsia" w:ascii="宋体" w:hAnsi="宋体" w:cs="宋体"/>
        <w:sz w:val="28"/>
        <w:szCs w:val="28"/>
      </w:rPr>
      <w:t xml:space="preserve"> —</w:t>
    </w:r>
  </w:p>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000" w:firstLine="64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WordPictureWatermark664136142" o:spid="_x0000_s1040" o:spt="75" type="#_x0000_t75" style="position:absolute;left:0pt;height:780pt;width:540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水印（市更新院）"/>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WordPictureWatermark664136141" o:spid="_x0000_s1039" o:spt="75" type="#_x0000_t75" style="position:absolute;left:0pt;height:780pt;width:540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水印（市更新院）"/>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8000" w:firstLine="64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858000" cy="9906000"/>
          <wp:effectExtent l="0" t="0" r="0" b="0"/>
          <wp:wrapNone/>
          <wp:docPr id="1" name="WordPictureWatermark664136142" descr="水印（市更新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664136142" descr="水印（市更新院）"/>
                  <pic:cNvPicPr>
                    <a:picLocks noChangeAspect="1"/>
                  </pic:cNvPicPr>
                </pic:nvPicPr>
                <pic:blipFill>
                  <a:blip r:embed="rId1"/>
                  <a:stretch>
                    <a:fillRect/>
                  </a:stretch>
                </pic:blipFill>
                <pic:spPr>
                  <a:xfrm>
                    <a:off x="0" y="0"/>
                    <a:ext cx="6858000" cy="9906000"/>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858000" cy="9906000"/>
          <wp:effectExtent l="0" t="0" r="0" b="0"/>
          <wp:wrapNone/>
          <wp:docPr id="2" name="WordPictureWatermark664136141" descr="水印（市更新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664136141" descr="水印（市更新院）"/>
                  <pic:cNvPicPr>
                    <a:picLocks noChangeAspect="1"/>
                  </pic:cNvPicPr>
                </pic:nvPicPr>
                <pic:blipFill>
                  <a:blip r:embed="rId1"/>
                  <a:stretch>
                    <a:fillRect/>
                  </a:stretch>
                </pic:blipFill>
                <pic:spPr>
                  <a:xfrm>
                    <a:off x="0" y="0"/>
                    <a:ext cx="6858000" cy="9906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7D35A"/>
    <w:multiLevelType w:val="singleLevel"/>
    <w:tmpl w:val="DE77D35A"/>
    <w:lvl w:ilvl="0" w:tentative="0">
      <w:start w:val="1"/>
      <w:numFmt w:val="chineseCountingThousand"/>
      <w:suff w:val="nothing"/>
      <w:lvlText w:val="第%1条 "/>
      <w:lvlJc w:val="left"/>
      <w:pPr>
        <w:ind w:left="-137" w:firstLine="420"/>
      </w:pPr>
      <w:rPr>
        <w:rFonts w:hint="eastAsia" w:ascii="黑体" w:hAnsi="宋体" w:eastAsia="黑体" w:cs="宋体"/>
        <w:sz w:val="32"/>
      </w:rPr>
    </w:lvl>
  </w:abstractNum>
  <w:abstractNum w:abstractNumId="1">
    <w:nsid w:val="EAFA9CF3"/>
    <w:multiLevelType w:val="singleLevel"/>
    <w:tmpl w:val="EAFA9CF3"/>
    <w:lvl w:ilvl="0" w:tentative="0">
      <w:start w:val="1"/>
      <w:numFmt w:val="chineseCounting"/>
      <w:suff w:val="nothing"/>
      <w:lvlText w:val="第%1条 "/>
      <w:lvlJc w:val="left"/>
      <w:pPr>
        <w:tabs>
          <w:tab w:val="left" w:pos="-40"/>
        </w:tabs>
        <w:ind w:left="-40" w:firstLine="40"/>
      </w:pPr>
      <w:rPr>
        <w:rFonts w:hint="eastAsia" w:ascii="宋体" w:hAnsi="宋体" w:eastAsia="黑体" w:cs="宋体"/>
        <w:b w:val="0"/>
        <w:bCs w:val="0"/>
        <w:sz w:val="32"/>
      </w:rPr>
    </w:lvl>
  </w:abstractNum>
  <w:abstractNum w:abstractNumId="2">
    <w:nsid w:val="155FD907"/>
    <w:multiLevelType w:val="singleLevel"/>
    <w:tmpl w:val="155FD907"/>
    <w:lvl w:ilvl="0" w:tentative="0">
      <w:start w:val="1"/>
      <w:numFmt w:val="chineseCountingThousand"/>
      <w:suff w:val="nothing"/>
      <w:lvlText w:val="第%1条 "/>
      <w:lvlJc w:val="left"/>
      <w:pPr>
        <w:ind w:left="-137" w:firstLine="420"/>
      </w:pPr>
      <w:rPr>
        <w:rFonts w:hint="eastAsia" w:ascii="黑体" w:hAnsi="宋体" w:eastAsia="黑体" w:cs="宋体"/>
        <w:sz w:val="3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mN2Q4MzFiZjE4NTAyNzU2YzNhOGNlMDg4MDVjNTcifQ=="/>
    <w:docVar w:name="KSO_WPS_MARK_KEY" w:val="773608f9-d31b-4e44-bb5b-a890167a0783"/>
  </w:docVars>
  <w:rsids>
    <w:rsidRoot w:val="00172A27"/>
    <w:rsid w:val="000019AA"/>
    <w:rsid w:val="00005265"/>
    <w:rsid w:val="000060D0"/>
    <w:rsid w:val="000070DC"/>
    <w:rsid w:val="00007A90"/>
    <w:rsid w:val="00007F59"/>
    <w:rsid w:val="00010A5E"/>
    <w:rsid w:val="00013E14"/>
    <w:rsid w:val="0001593E"/>
    <w:rsid w:val="00016B03"/>
    <w:rsid w:val="00021439"/>
    <w:rsid w:val="0002150A"/>
    <w:rsid w:val="00022218"/>
    <w:rsid w:val="00022466"/>
    <w:rsid w:val="00023674"/>
    <w:rsid w:val="000272E7"/>
    <w:rsid w:val="00027982"/>
    <w:rsid w:val="00030459"/>
    <w:rsid w:val="000313C0"/>
    <w:rsid w:val="000375D8"/>
    <w:rsid w:val="0004276B"/>
    <w:rsid w:val="00042ABE"/>
    <w:rsid w:val="00043830"/>
    <w:rsid w:val="00043CC9"/>
    <w:rsid w:val="000442A7"/>
    <w:rsid w:val="00045BEA"/>
    <w:rsid w:val="00046204"/>
    <w:rsid w:val="0004622A"/>
    <w:rsid w:val="00046372"/>
    <w:rsid w:val="00050158"/>
    <w:rsid w:val="00050E2F"/>
    <w:rsid w:val="00051050"/>
    <w:rsid w:val="000577CB"/>
    <w:rsid w:val="00060619"/>
    <w:rsid w:val="0006121F"/>
    <w:rsid w:val="00061ECC"/>
    <w:rsid w:val="000620E2"/>
    <w:rsid w:val="000634CC"/>
    <w:rsid w:val="000638D6"/>
    <w:rsid w:val="000644A5"/>
    <w:rsid w:val="00065D70"/>
    <w:rsid w:val="00070CE8"/>
    <w:rsid w:val="00070DDF"/>
    <w:rsid w:val="00071930"/>
    <w:rsid w:val="00072106"/>
    <w:rsid w:val="0007322B"/>
    <w:rsid w:val="00073392"/>
    <w:rsid w:val="000746CA"/>
    <w:rsid w:val="00074DB1"/>
    <w:rsid w:val="00075876"/>
    <w:rsid w:val="00075D0E"/>
    <w:rsid w:val="00076016"/>
    <w:rsid w:val="00076B87"/>
    <w:rsid w:val="00080937"/>
    <w:rsid w:val="00081816"/>
    <w:rsid w:val="00084926"/>
    <w:rsid w:val="00087B24"/>
    <w:rsid w:val="00091561"/>
    <w:rsid w:val="00091D91"/>
    <w:rsid w:val="000921D7"/>
    <w:rsid w:val="0009325E"/>
    <w:rsid w:val="00094EB8"/>
    <w:rsid w:val="000957A3"/>
    <w:rsid w:val="00096CAA"/>
    <w:rsid w:val="00096DC2"/>
    <w:rsid w:val="000A217D"/>
    <w:rsid w:val="000A2A4F"/>
    <w:rsid w:val="000A323A"/>
    <w:rsid w:val="000A442D"/>
    <w:rsid w:val="000A72FD"/>
    <w:rsid w:val="000B2E52"/>
    <w:rsid w:val="000B3D73"/>
    <w:rsid w:val="000B3DDD"/>
    <w:rsid w:val="000B785A"/>
    <w:rsid w:val="000C043F"/>
    <w:rsid w:val="000C25EB"/>
    <w:rsid w:val="000C2697"/>
    <w:rsid w:val="000C30F1"/>
    <w:rsid w:val="000C4185"/>
    <w:rsid w:val="000C6DE7"/>
    <w:rsid w:val="000D0643"/>
    <w:rsid w:val="000D09B6"/>
    <w:rsid w:val="000D144A"/>
    <w:rsid w:val="000D1CE8"/>
    <w:rsid w:val="000D2F71"/>
    <w:rsid w:val="000D3682"/>
    <w:rsid w:val="000D36BC"/>
    <w:rsid w:val="000D4C98"/>
    <w:rsid w:val="000D7AB0"/>
    <w:rsid w:val="000F088E"/>
    <w:rsid w:val="000F378F"/>
    <w:rsid w:val="000F65CB"/>
    <w:rsid w:val="0010308A"/>
    <w:rsid w:val="001077EE"/>
    <w:rsid w:val="00107E49"/>
    <w:rsid w:val="00110201"/>
    <w:rsid w:val="0011273C"/>
    <w:rsid w:val="0011319C"/>
    <w:rsid w:val="00117BBC"/>
    <w:rsid w:val="00120F8C"/>
    <w:rsid w:val="0012421D"/>
    <w:rsid w:val="001252FC"/>
    <w:rsid w:val="0012620D"/>
    <w:rsid w:val="00126A72"/>
    <w:rsid w:val="001318BF"/>
    <w:rsid w:val="00131BA4"/>
    <w:rsid w:val="00134B64"/>
    <w:rsid w:val="0013547C"/>
    <w:rsid w:val="0014025A"/>
    <w:rsid w:val="00140526"/>
    <w:rsid w:val="00140709"/>
    <w:rsid w:val="00142D7C"/>
    <w:rsid w:val="00144392"/>
    <w:rsid w:val="0014598B"/>
    <w:rsid w:val="00146248"/>
    <w:rsid w:val="00152720"/>
    <w:rsid w:val="00154458"/>
    <w:rsid w:val="00160857"/>
    <w:rsid w:val="001621EA"/>
    <w:rsid w:val="001663AC"/>
    <w:rsid w:val="00166D09"/>
    <w:rsid w:val="0016710F"/>
    <w:rsid w:val="00172A27"/>
    <w:rsid w:val="0017309C"/>
    <w:rsid w:val="00173EE9"/>
    <w:rsid w:val="00174706"/>
    <w:rsid w:val="00176AB5"/>
    <w:rsid w:val="00180F04"/>
    <w:rsid w:val="00181C75"/>
    <w:rsid w:val="001846B6"/>
    <w:rsid w:val="001866E0"/>
    <w:rsid w:val="00187FD6"/>
    <w:rsid w:val="00190D8F"/>
    <w:rsid w:val="00191C0E"/>
    <w:rsid w:val="00192DBD"/>
    <w:rsid w:val="00192FB1"/>
    <w:rsid w:val="001950AA"/>
    <w:rsid w:val="00197417"/>
    <w:rsid w:val="001A07FD"/>
    <w:rsid w:val="001A0FE7"/>
    <w:rsid w:val="001A209B"/>
    <w:rsid w:val="001A2473"/>
    <w:rsid w:val="001A32B3"/>
    <w:rsid w:val="001A4A4D"/>
    <w:rsid w:val="001A5BDB"/>
    <w:rsid w:val="001A5F72"/>
    <w:rsid w:val="001B2B52"/>
    <w:rsid w:val="001B4853"/>
    <w:rsid w:val="001B5D19"/>
    <w:rsid w:val="001B783B"/>
    <w:rsid w:val="001C200D"/>
    <w:rsid w:val="001C233A"/>
    <w:rsid w:val="001C2350"/>
    <w:rsid w:val="001C2D7F"/>
    <w:rsid w:val="001C348B"/>
    <w:rsid w:val="001C47DE"/>
    <w:rsid w:val="001C4AAC"/>
    <w:rsid w:val="001C6E06"/>
    <w:rsid w:val="001C72B8"/>
    <w:rsid w:val="001D41B3"/>
    <w:rsid w:val="001E22FE"/>
    <w:rsid w:val="001E5900"/>
    <w:rsid w:val="001E7149"/>
    <w:rsid w:val="001F113E"/>
    <w:rsid w:val="00201425"/>
    <w:rsid w:val="00201640"/>
    <w:rsid w:val="002029A6"/>
    <w:rsid w:val="00203A0F"/>
    <w:rsid w:val="00204665"/>
    <w:rsid w:val="00204910"/>
    <w:rsid w:val="00205EA8"/>
    <w:rsid w:val="00206183"/>
    <w:rsid w:val="002126EA"/>
    <w:rsid w:val="00212D74"/>
    <w:rsid w:val="00213138"/>
    <w:rsid w:val="00215993"/>
    <w:rsid w:val="00216695"/>
    <w:rsid w:val="0021699C"/>
    <w:rsid w:val="0021757C"/>
    <w:rsid w:val="00220879"/>
    <w:rsid w:val="00222755"/>
    <w:rsid w:val="00224184"/>
    <w:rsid w:val="00224961"/>
    <w:rsid w:val="00225155"/>
    <w:rsid w:val="00225308"/>
    <w:rsid w:val="00231F32"/>
    <w:rsid w:val="00232153"/>
    <w:rsid w:val="0023487D"/>
    <w:rsid w:val="00235D0F"/>
    <w:rsid w:val="00235FB6"/>
    <w:rsid w:val="00237F6B"/>
    <w:rsid w:val="00242453"/>
    <w:rsid w:val="0024300F"/>
    <w:rsid w:val="00245012"/>
    <w:rsid w:val="002457FD"/>
    <w:rsid w:val="0024761A"/>
    <w:rsid w:val="00253633"/>
    <w:rsid w:val="00255BAE"/>
    <w:rsid w:val="00255F64"/>
    <w:rsid w:val="00256D21"/>
    <w:rsid w:val="00260219"/>
    <w:rsid w:val="00263122"/>
    <w:rsid w:val="002631EB"/>
    <w:rsid w:val="00265283"/>
    <w:rsid w:val="00266298"/>
    <w:rsid w:val="00266D1A"/>
    <w:rsid w:val="0027138C"/>
    <w:rsid w:val="00271A32"/>
    <w:rsid w:val="00273053"/>
    <w:rsid w:val="00273381"/>
    <w:rsid w:val="00274B41"/>
    <w:rsid w:val="00276C2A"/>
    <w:rsid w:val="00283559"/>
    <w:rsid w:val="002837B8"/>
    <w:rsid w:val="00283957"/>
    <w:rsid w:val="00284C24"/>
    <w:rsid w:val="00286F36"/>
    <w:rsid w:val="00287A8E"/>
    <w:rsid w:val="002904E4"/>
    <w:rsid w:val="0029092A"/>
    <w:rsid w:val="00291D08"/>
    <w:rsid w:val="00292CC9"/>
    <w:rsid w:val="00292CCD"/>
    <w:rsid w:val="0029457B"/>
    <w:rsid w:val="00294C40"/>
    <w:rsid w:val="0029597D"/>
    <w:rsid w:val="002A0628"/>
    <w:rsid w:val="002A3CD8"/>
    <w:rsid w:val="002A47C5"/>
    <w:rsid w:val="002A73D6"/>
    <w:rsid w:val="002B00C8"/>
    <w:rsid w:val="002B1D94"/>
    <w:rsid w:val="002B2809"/>
    <w:rsid w:val="002B2FB6"/>
    <w:rsid w:val="002B40E9"/>
    <w:rsid w:val="002B64EF"/>
    <w:rsid w:val="002B710B"/>
    <w:rsid w:val="002B7450"/>
    <w:rsid w:val="002B7674"/>
    <w:rsid w:val="002C0AB6"/>
    <w:rsid w:val="002C2BD1"/>
    <w:rsid w:val="002C454B"/>
    <w:rsid w:val="002C66C2"/>
    <w:rsid w:val="002D15EE"/>
    <w:rsid w:val="002D238F"/>
    <w:rsid w:val="002D28EF"/>
    <w:rsid w:val="002D2E2D"/>
    <w:rsid w:val="002D4598"/>
    <w:rsid w:val="002D67AC"/>
    <w:rsid w:val="002D729D"/>
    <w:rsid w:val="002D7313"/>
    <w:rsid w:val="002E1FAC"/>
    <w:rsid w:val="002E3332"/>
    <w:rsid w:val="002F106B"/>
    <w:rsid w:val="002F1494"/>
    <w:rsid w:val="002F1AC8"/>
    <w:rsid w:val="002F331C"/>
    <w:rsid w:val="002F3885"/>
    <w:rsid w:val="002F3F9B"/>
    <w:rsid w:val="002F4B70"/>
    <w:rsid w:val="00301A95"/>
    <w:rsid w:val="00302952"/>
    <w:rsid w:val="0030461D"/>
    <w:rsid w:val="00306DBB"/>
    <w:rsid w:val="003075B3"/>
    <w:rsid w:val="0031030F"/>
    <w:rsid w:val="00311587"/>
    <w:rsid w:val="003126E7"/>
    <w:rsid w:val="00312928"/>
    <w:rsid w:val="0031423E"/>
    <w:rsid w:val="003143B0"/>
    <w:rsid w:val="00314544"/>
    <w:rsid w:val="00314599"/>
    <w:rsid w:val="00315A4C"/>
    <w:rsid w:val="00321238"/>
    <w:rsid w:val="00323780"/>
    <w:rsid w:val="003245D7"/>
    <w:rsid w:val="00324734"/>
    <w:rsid w:val="003247C6"/>
    <w:rsid w:val="003266B5"/>
    <w:rsid w:val="003271C9"/>
    <w:rsid w:val="003320A8"/>
    <w:rsid w:val="003331DC"/>
    <w:rsid w:val="00333852"/>
    <w:rsid w:val="003353FE"/>
    <w:rsid w:val="00336392"/>
    <w:rsid w:val="00336CE1"/>
    <w:rsid w:val="00341C4F"/>
    <w:rsid w:val="00342592"/>
    <w:rsid w:val="00343E88"/>
    <w:rsid w:val="00345110"/>
    <w:rsid w:val="00345DB1"/>
    <w:rsid w:val="00347A8B"/>
    <w:rsid w:val="003522CB"/>
    <w:rsid w:val="0035308B"/>
    <w:rsid w:val="00355C48"/>
    <w:rsid w:val="00357420"/>
    <w:rsid w:val="00361269"/>
    <w:rsid w:val="00361520"/>
    <w:rsid w:val="003622D2"/>
    <w:rsid w:val="003638A0"/>
    <w:rsid w:val="003655EE"/>
    <w:rsid w:val="00367F6A"/>
    <w:rsid w:val="0037019E"/>
    <w:rsid w:val="00372035"/>
    <w:rsid w:val="00373F73"/>
    <w:rsid w:val="00375027"/>
    <w:rsid w:val="0037520E"/>
    <w:rsid w:val="003755F7"/>
    <w:rsid w:val="00376290"/>
    <w:rsid w:val="00376326"/>
    <w:rsid w:val="00376E57"/>
    <w:rsid w:val="0037711D"/>
    <w:rsid w:val="003869C4"/>
    <w:rsid w:val="00386E18"/>
    <w:rsid w:val="00391350"/>
    <w:rsid w:val="00391A06"/>
    <w:rsid w:val="00394797"/>
    <w:rsid w:val="0039693C"/>
    <w:rsid w:val="003973B8"/>
    <w:rsid w:val="003A4082"/>
    <w:rsid w:val="003A6932"/>
    <w:rsid w:val="003A6EC6"/>
    <w:rsid w:val="003A700B"/>
    <w:rsid w:val="003A7F6D"/>
    <w:rsid w:val="003B14F7"/>
    <w:rsid w:val="003B1853"/>
    <w:rsid w:val="003B56A5"/>
    <w:rsid w:val="003C03FE"/>
    <w:rsid w:val="003C0871"/>
    <w:rsid w:val="003C2C51"/>
    <w:rsid w:val="003C2FAE"/>
    <w:rsid w:val="003C4F4B"/>
    <w:rsid w:val="003C6963"/>
    <w:rsid w:val="003C7365"/>
    <w:rsid w:val="003C766C"/>
    <w:rsid w:val="003C772A"/>
    <w:rsid w:val="003C7F96"/>
    <w:rsid w:val="003D0B5D"/>
    <w:rsid w:val="003D3274"/>
    <w:rsid w:val="003D4FA4"/>
    <w:rsid w:val="003D534B"/>
    <w:rsid w:val="003D6485"/>
    <w:rsid w:val="003E1C2A"/>
    <w:rsid w:val="003E2D06"/>
    <w:rsid w:val="003E3B12"/>
    <w:rsid w:val="003E3E93"/>
    <w:rsid w:val="003E47B2"/>
    <w:rsid w:val="003E5A0C"/>
    <w:rsid w:val="003E6F44"/>
    <w:rsid w:val="003F2577"/>
    <w:rsid w:val="003F2AF1"/>
    <w:rsid w:val="003F2F00"/>
    <w:rsid w:val="003F4A34"/>
    <w:rsid w:val="003F4D87"/>
    <w:rsid w:val="003F7464"/>
    <w:rsid w:val="003F7765"/>
    <w:rsid w:val="003F779E"/>
    <w:rsid w:val="00400A00"/>
    <w:rsid w:val="00400DF7"/>
    <w:rsid w:val="00402196"/>
    <w:rsid w:val="0040489C"/>
    <w:rsid w:val="004058A5"/>
    <w:rsid w:val="00405AA0"/>
    <w:rsid w:val="00406BC6"/>
    <w:rsid w:val="00414F63"/>
    <w:rsid w:val="00417AAA"/>
    <w:rsid w:val="004206F9"/>
    <w:rsid w:val="00420A65"/>
    <w:rsid w:val="004222D7"/>
    <w:rsid w:val="00422636"/>
    <w:rsid w:val="00430B1A"/>
    <w:rsid w:val="0043121E"/>
    <w:rsid w:val="00431B51"/>
    <w:rsid w:val="00431F41"/>
    <w:rsid w:val="00432375"/>
    <w:rsid w:val="00433A98"/>
    <w:rsid w:val="00434402"/>
    <w:rsid w:val="00434C91"/>
    <w:rsid w:val="00435AB1"/>
    <w:rsid w:val="00437D52"/>
    <w:rsid w:val="00442185"/>
    <w:rsid w:val="00444093"/>
    <w:rsid w:val="00444AB1"/>
    <w:rsid w:val="00444ED3"/>
    <w:rsid w:val="0044715B"/>
    <w:rsid w:val="0044752C"/>
    <w:rsid w:val="0044795E"/>
    <w:rsid w:val="00447C24"/>
    <w:rsid w:val="0045029E"/>
    <w:rsid w:val="004530B9"/>
    <w:rsid w:val="00453CED"/>
    <w:rsid w:val="00460220"/>
    <w:rsid w:val="0046380C"/>
    <w:rsid w:val="00464493"/>
    <w:rsid w:val="00466253"/>
    <w:rsid w:val="00467847"/>
    <w:rsid w:val="00471180"/>
    <w:rsid w:val="004774C7"/>
    <w:rsid w:val="0048029A"/>
    <w:rsid w:val="004821C7"/>
    <w:rsid w:val="004826FE"/>
    <w:rsid w:val="0048376B"/>
    <w:rsid w:val="00484E34"/>
    <w:rsid w:val="00485524"/>
    <w:rsid w:val="00485EC5"/>
    <w:rsid w:val="00487886"/>
    <w:rsid w:val="004918EB"/>
    <w:rsid w:val="00492F52"/>
    <w:rsid w:val="00494725"/>
    <w:rsid w:val="00494A7B"/>
    <w:rsid w:val="00495351"/>
    <w:rsid w:val="0049649F"/>
    <w:rsid w:val="004970DC"/>
    <w:rsid w:val="004A01EA"/>
    <w:rsid w:val="004A0B8A"/>
    <w:rsid w:val="004A3642"/>
    <w:rsid w:val="004A3F69"/>
    <w:rsid w:val="004A4668"/>
    <w:rsid w:val="004B1629"/>
    <w:rsid w:val="004B37FB"/>
    <w:rsid w:val="004B40C7"/>
    <w:rsid w:val="004B4B81"/>
    <w:rsid w:val="004C0FAD"/>
    <w:rsid w:val="004C1498"/>
    <w:rsid w:val="004C1728"/>
    <w:rsid w:val="004C1ED5"/>
    <w:rsid w:val="004C24BB"/>
    <w:rsid w:val="004C4C1B"/>
    <w:rsid w:val="004C7158"/>
    <w:rsid w:val="004D1834"/>
    <w:rsid w:val="004D1D45"/>
    <w:rsid w:val="004D25B4"/>
    <w:rsid w:val="004D2C97"/>
    <w:rsid w:val="004D2E42"/>
    <w:rsid w:val="004D3860"/>
    <w:rsid w:val="004D65B7"/>
    <w:rsid w:val="004E009D"/>
    <w:rsid w:val="004E09A6"/>
    <w:rsid w:val="004E2247"/>
    <w:rsid w:val="004E67B2"/>
    <w:rsid w:val="004E6D6A"/>
    <w:rsid w:val="004E6DD2"/>
    <w:rsid w:val="004F2124"/>
    <w:rsid w:val="004F26F2"/>
    <w:rsid w:val="004F4858"/>
    <w:rsid w:val="004F6683"/>
    <w:rsid w:val="00502C65"/>
    <w:rsid w:val="005033F2"/>
    <w:rsid w:val="00504E1B"/>
    <w:rsid w:val="005074D9"/>
    <w:rsid w:val="0050774E"/>
    <w:rsid w:val="00510F64"/>
    <w:rsid w:val="0051139B"/>
    <w:rsid w:val="00516B02"/>
    <w:rsid w:val="00516ECE"/>
    <w:rsid w:val="005208F2"/>
    <w:rsid w:val="0052240C"/>
    <w:rsid w:val="00523257"/>
    <w:rsid w:val="005252EF"/>
    <w:rsid w:val="00525BD6"/>
    <w:rsid w:val="005263BC"/>
    <w:rsid w:val="00533F2D"/>
    <w:rsid w:val="00534095"/>
    <w:rsid w:val="005344D6"/>
    <w:rsid w:val="00544BD0"/>
    <w:rsid w:val="00551C23"/>
    <w:rsid w:val="0055264B"/>
    <w:rsid w:val="00553405"/>
    <w:rsid w:val="0055394C"/>
    <w:rsid w:val="00553C24"/>
    <w:rsid w:val="00555B48"/>
    <w:rsid w:val="00556044"/>
    <w:rsid w:val="00556878"/>
    <w:rsid w:val="005578C9"/>
    <w:rsid w:val="00561FB7"/>
    <w:rsid w:val="00563028"/>
    <w:rsid w:val="00570D6B"/>
    <w:rsid w:val="005722B7"/>
    <w:rsid w:val="00572C80"/>
    <w:rsid w:val="0057368C"/>
    <w:rsid w:val="00574CD6"/>
    <w:rsid w:val="00576A65"/>
    <w:rsid w:val="005821F1"/>
    <w:rsid w:val="005827EB"/>
    <w:rsid w:val="00585997"/>
    <w:rsid w:val="005914D2"/>
    <w:rsid w:val="00592FC1"/>
    <w:rsid w:val="005A0A17"/>
    <w:rsid w:val="005A1A0E"/>
    <w:rsid w:val="005A29CB"/>
    <w:rsid w:val="005A3DE1"/>
    <w:rsid w:val="005A61F1"/>
    <w:rsid w:val="005A679D"/>
    <w:rsid w:val="005A718D"/>
    <w:rsid w:val="005A7EA9"/>
    <w:rsid w:val="005B2C44"/>
    <w:rsid w:val="005B2FAE"/>
    <w:rsid w:val="005B5277"/>
    <w:rsid w:val="005B6B5E"/>
    <w:rsid w:val="005B70F6"/>
    <w:rsid w:val="005C0A16"/>
    <w:rsid w:val="005C0DC5"/>
    <w:rsid w:val="005C1594"/>
    <w:rsid w:val="005C1CF9"/>
    <w:rsid w:val="005C3342"/>
    <w:rsid w:val="005C51F4"/>
    <w:rsid w:val="005C641E"/>
    <w:rsid w:val="005C675E"/>
    <w:rsid w:val="005D1FBB"/>
    <w:rsid w:val="005D576A"/>
    <w:rsid w:val="005D670C"/>
    <w:rsid w:val="005D6BCA"/>
    <w:rsid w:val="005E0859"/>
    <w:rsid w:val="005E1006"/>
    <w:rsid w:val="005E40A8"/>
    <w:rsid w:val="005E6BB6"/>
    <w:rsid w:val="005E7AC8"/>
    <w:rsid w:val="005F2F9C"/>
    <w:rsid w:val="005F368B"/>
    <w:rsid w:val="005F4ADC"/>
    <w:rsid w:val="0060004B"/>
    <w:rsid w:val="00600AD5"/>
    <w:rsid w:val="006022F1"/>
    <w:rsid w:val="00603031"/>
    <w:rsid w:val="00606A3F"/>
    <w:rsid w:val="006078A5"/>
    <w:rsid w:val="006078C2"/>
    <w:rsid w:val="00611750"/>
    <w:rsid w:val="00612567"/>
    <w:rsid w:val="006136BF"/>
    <w:rsid w:val="00613EC6"/>
    <w:rsid w:val="00614152"/>
    <w:rsid w:val="00616124"/>
    <w:rsid w:val="00617A99"/>
    <w:rsid w:val="00620EEB"/>
    <w:rsid w:val="0062328A"/>
    <w:rsid w:val="00624115"/>
    <w:rsid w:val="00624AFC"/>
    <w:rsid w:val="00625EBC"/>
    <w:rsid w:val="00626F3C"/>
    <w:rsid w:val="006301EA"/>
    <w:rsid w:val="006308D8"/>
    <w:rsid w:val="00631A09"/>
    <w:rsid w:val="00633F20"/>
    <w:rsid w:val="00636F55"/>
    <w:rsid w:val="00640E2E"/>
    <w:rsid w:val="00641E71"/>
    <w:rsid w:val="0064242E"/>
    <w:rsid w:val="00642438"/>
    <w:rsid w:val="006449D2"/>
    <w:rsid w:val="00645A85"/>
    <w:rsid w:val="00645AF8"/>
    <w:rsid w:val="00645B0C"/>
    <w:rsid w:val="00645DB8"/>
    <w:rsid w:val="006477D5"/>
    <w:rsid w:val="0064794B"/>
    <w:rsid w:val="00650540"/>
    <w:rsid w:val="00650E5A"/>
    <w:rsid w:val="006520AF"/>
    <w:rsid w:val="00652FEC"/>
    <w:rsid w:val="00654CE6"/>
    <w:rsid w:val="006551E8"/>
    <w:rsid w:val="00657269"/>
    <w:rsid w:val="0065776E"/>
    <w:rsid w:val="006603D5"/>
    <w:rsid w:val="006605F3"/>
    <w:rsid w:val="00663327"/>
    <w:rsid w:val="00664480"/>
    <w:rsid w:val="00664A9C"/>
    <w:rsid w:val="00665C73"/>
    <w:rsid w:val="00665D06"/>
    <w:rsid w:val="006668CA"/>
    <w:rsid w:val="006731B8"/>
    <w:rsid w:val="006754DA"/>
    <w:rsid w:val="00683A30"/>
    <w:rsid w:val="0069143F"/>
    <w:rsid w:val="00694D6E"/>
    <w:rsid w:val="00696139"/>
    <w:rsid w:val="00697FB9"/>
    <w:rsid w:val="006A1E75"/>
    <w:rsid w:val="006A3020"/>
    <w:rsid w:val="006A3294"/>
    <w:rsid w:val="006A500C"/>
    <w:rsid w:val="006A5A77"/>
    <w:rsid w:val="006A6419"/>
    <w:rsid w:val="006A64C6"/>
    <w:rsid w:val="006B1A89"/>
    <w:rsid w:val="006B255B"/>
    <w:rsid w:val="006B6E92"/>
    <w:rsid w:val="006B7178"/>
    <w:rsid w:val="006C0D71"/>
    <w:rsid w:val="006C15BF"/>
    <w:rsid w:val="006C2FFF"/>
    <w:rsid w:val="006C4188"/>
    <w:rsid w:val="006C53D6"/>
    <w:rsid w:val="006C59FC"/>
    <w:rsid w:val="006C7E58"/>
    <w:rsid w:val="006D1EB6"/>
    <w:rsid w:val="006D21C8"/>
    <w:rsid w:val="006D24AB"/>
    <w:rsid w:val="006D2DAF"/>
    <w:rsid w:val="006D40E5"/>
    <w:rsid w:val="006D6DD4"/>
    <w:rsid w:val="006D754E"/>
    <w:rsid w:val="006D7965"/>
    <w:rsid w:val="006E2DF8"/>
    <w:rsid w:val="006E3C74"/>
    <w:rsid w:val="006E72E0"/>
    <w:rsid w:val="006F146D"/>
    <w:rsid w:val="006F1BB2"/>
    <w:rsid w:val="006F1C6C"/>
    <w:rsid w:val="006F2476"/>
    <w:rsid w:val="006F2D05"/>
    <w:rsid w:val="006F2DE5"/>
    <w:rsid w:val="006F455C"/>
    <w:rsid w:val="006F4AC2"/>
    <w:rsid w:val="006F4AEC"/>
    <w:rsid w:val="006F6151"/>
    <w:rsid w:val="006F72FC"/>
    <w:rsid w:val="006F7695"/>
    <w:rsid w:val="006F7CAF"/>
    <w:rsid w:val="007003E2"/>
    <w:rsid w:val="00700F2B"/>
    <w:rsid w:val="007011B9"/>
    <w:rsid w:val="00703FAB"/>
    <w:rsid w:val="0071045A"/>
    <w:rsid w:val="007131BB"/>
    <w:rsid w:val="0071382D"/>
    <w:rsid w:val="00713F5F"/>
    <w:rsid w:val="00716F82"/>
    <w:rsid w:val="00722005"/>
    <w:rsid w:val="0072561A"/>
    <w:rsid w:val="00725A4D"/>
    <w:rsid w:val="00725ECB"/>
    <w:rsid w:val="00731C78"/>
    <w:rsid w:val="007329C4"/>
    <w:rsid w:val="0073388D"/>
    <w:rsid w:val="00733DEC"/>
    <w:rsid w:val="00737575"/>
    <w:rsid w:val="007412FC"/>
    <w:rsid w:val="00742061"/>
    <w:rsid w:val="00742AE7"/>
    <w:rsid w:val="0074377A"/>
    <w:rsid w:val="00745044"/>
    <w:rsid w:val="00746E9D"/>
    <w:rsid w:val="0074799B"/>
    <w:rsid w:val="00752C7F"/>
    <w:rsid w:val="007539F9"/>
    <w:rsid w:val="00753B5F"/>
    <w:rsid w:val="00761D2D"/>
    <w:rsid w:val="00762A4E"/>
    <w:rsid w:val="0076486C"/>
    <w:rsid w:val="00766E1C"/>
    <w:rsid w:val="007674C9"/>
    <w:rsid w:val="00772FE8"/>
    <w:rsid w:val="00773F0A"/>
    <w:rsid w:val="00775F19"/>
    <w:rsid w:val="007773E3"/>
    <w:rsid w:val="007779CC"/>
    <w:rsid w:val="00784156"/>
    <w:rsid w:val="00784BEC"/>
    <w:rsid w:val="0078565F"/>
    <w:rsid w:val="00786370"/>
    <w:rsid w:val="00790DBE"/>
    <w:rsid w:val="007929C0"/>
    <w:rsid w:val="007933AF"/>
    <w:rsid w:val="007956BB"/>
    <w:rsid w:val="007A1024"/>
    <w:rsid w:val="007A1297"/>
    <w:rsid w:val="007A34DE"/>
    <w:rsid w:val="007A486C"/>
    <w:rsid w:val="007B1C5D"/>
    <w:rsid w:val="007B2103"/>
    <w:rsid w:val="007B4CB3"/>
    <w:rsid w:val="007B6A37"/>
    <w:rsid w:val="007B7A11"/>
    <w:rsid w:val="007C2405"/>
    <w:rsid w:val="007C2C4C"/>
    <w:rsid w:val="007C3636"/>
    <w:rsid w:val="007C63B8"/>
    <w:rsid w:val="007C7AFA"/>
    <w:rsid w:val="007D163C"/>
    <w:rsid w:val="007D18A1"/>
    <w:rsid w:val="007D18D9"/>
    <w:rsid w:val="007D32A4"/>
    <w:rsid w:val="007D3D05"/>
    <w:rsid w:val="007D5343"/>
    <w:rsid w:val="007D720A"/>
    <w:rsid w:val="007E058A"/>
    <w:rsid w:val="007E1CA6"/>
    <w:rsid w:val="007E2E44"/>
    <w:rsid w:val="007E30AF"/>
    <w:rsid w:val="007E3685"/>
    <w:rsid w:val="007E3ED9"/>
    <w:rsid w:val="007E3FCF"/>
    <w:rsid w:val="007E476A"/>
    <w:rsid w:val="007E5A10"/>
    <w:rsid w:val="007E7308"/>
    <w:rsid w:val="007E748D"/>
    <w:rsid w:val="007E7EEB"/>
    <w:rsid w:val="007F24E1"/>
    <w:rsid w:val="007F2C8A"/>
    <w:rsid w:val="007F2C99"/>
    <w:rsid w:val="007F4A6E"/>
    <w:rsid w:val="007F57D1"/>
    <w:rsid w:val="00800E14"/>
    <w:rsid w:val="00801A0B"/>
    <w:rsid w:val="00801DFF"/>
    <w:rsid w:val="008033F0"/>
    <w:rsid w:val="00804111"/>
    <w:rsid w:val="00805091"/>
    <w:rsid w:val="0080627F"/>
    <w:rsid w:val="00807B85"/>
    <w:rsid w:val="00810D61"/>
    <w:rsid w:val="008127BE"/>
    <w:rsid w:val="008128B9"/>
    <w:rsid w:val="00815B98"/>
    <w:rsid w:val="00816281"/>
    <w:rsid w:val="00817959"/>
    <w:rsid w:val="00817F31"/>
    <w:rsid w:val="00820ED7"/>
    <w:rsid w:val="00822CA7"/>
    <w:rsid w:val="008304F7"/>
    <w:rsid w:val="008324D5"/>
    <w:rsid w:val="008327DA"/>
    <w:rsid w:val="0083511D"/>
    <w:rsid w:val="0084074E"/>
    <w:rsid w:val="00840F17"/>
    <w:rsid w:val="00843BC4"/>
    <w:rsid w:val="00845EE7"/>
    <w:rsid w:val="00846F5E"/>
    <w:rsid w:val="00847E98"/>
    <w:rsid w:val="0085185E"/>
    <w:rsid w:val="008533BC"/>
    <w:rsid w:val="00853820"/>
    <w:rsid w:val="008544E9"/>
    <w:rsid w:val="0085599B"/>
    <w:rsid w:val="00856545"/>
    <w:rsid w:val="00856FF7"/>
    <w:rsid w:val="0085715F"/>
    <w:rsid w:val="0086262E"/>
    <w:rsid w:val="00863E0B"/>
    <w:rsid w:val="008658DE"/>
    <w:rsid w:val="00865C9D"/>
    <w:rsid w:val="00866244"/>
    <w:rsid w:val="008669D6"/>
    <w:rsid w:val="00867320"/>
    <w:rsid w:val="0087379A"/>
    <w:rsid w:val="0087485E"/>
    <w:rsid w:val="00874C63"/>
    <w:rsid w:val="00874D98"/>
    <w:rsid w:val="00884065"/>
    <w:rsid w:val="00886A14"/>
    <w:rsid w:val="00886CF1"/>
    <w:rsid w:val="00891D33"/>
    <w:rsid w:val="008922E2"/>
    <w:rsid w:val="008954C9"/>
    <w:rsid w:val="008A0575"/>
    <w:rsid w:val="008A2560"/>
    <w:rsid w:val="008A29E7"/>
    <w:rsid w:val="008A3F3C"/>
    <w:rsid w:val="008A4633"/>
    <w:rsid w:val="008A547A"/>
    <w:rsid w:val="008A5A65"/>
    <w:rsid w:val="008A7A3A"/>
    <w:rsid w:val="008B1C2E"/>
    <w:rsid w:val="008B3FF7"/>
    <w:rsid w:val="008B467F"/>
    <w:rsid w:val="008B4817"/>
    <w:rsid w:val="008B62A4"/>
    <w:rsid w:val="008B651A"/>
    <w:rsid w:val="008B6CFE"/>
    <w:rsid w:val="008C0913"/>
    <w:rsid w:val="008C28E6"/>
    <w:rsid w:val="008C4BF9"/>
    <w:rsid w:val="008C511A"/>
    <w:rsid w:val="008C525E"/>
    <w:rsid w:val="008C6525"/>
    <w:rsid w:val="008D12AE"/>
    <w:rsid w:val="008D250A"/>
    <w:rsid w:val="008D2820"/>
    <w:rsid w:val="008D2B1D"/>
    <w:rsid w:val="008D4484"/>
    <w:rsid w:val="008D50C5"/>
    <w:rsid w:val="008D6589"/>
    <w:rsid w:val="008E308A"/>
    <w:rsid w:val="008E3360"/>
    <w:rsid w:val="008E5EEC"/>
    <w:rsid w:val="008E640F"/>
    <w:rsid w:val="008E7B31"/>
    <w:rsid w:val="008F2E2F"/>
    <w:rsid w:val="008F3384"/>
    <w:rsid w:val="008F39D0"/>
    <w:rsid w:val="008F58BA"/>
    <w:rsid w:val="00900399"/>
    <w:rsid w:val="00900D82"/>
    <w:rsid w:val="009018C4"/>
    <w:rsid w:val="00903545"/>
    <w:rsid w:val="0090627F"/>
    <w:rsid w:val="009136A3"/>
    <w:rsid w:val="0091401A"/>
    <w:rsid w:val="009141AE"/>
    <w:rsid w:val="009162E4"/>
    <w:rsid w:val="00916868"/>
    <w:rsid w:val="00920060"/>
    <w:rsid w:val="00921FF1"/>
    <w:rsid w:val="009235D8"/>
    <w:rsid w:val="00925031"/>
    <w:rsid w:val="00925C38"/>
    <w:rsid w:val="00925CF9"/>
    <w:rsid w:val="009303B4"/>
    <w:rsid w:val="009309CB"/>
    <w:rsid w:val="009321CF"/>
    <w:rsid w:val="00933CB7"/>
    <w:rsid w:val="009379A5"/>
    <w:rsid w:val="00942520"/>
    <w:rsid w:val="009429F8"/>
    <w:rsid w:val="00943C94"/>
    <w:rsid w:val="00947D40"/>
    <w:rsid w:val="00951149"/>
    <w:rsid w:val="009520F9"/>
    <w:rsid w:val="00953347"/>
    <w:rsid w:val="009549B1"/>
    <w:rsid w:val="00955A65"/>
    <w:rsid w:val="00955F46"/>
    <w:rsid w:val="00957D0D"/>
    <w:rsid w:val="009600A9"/>
    <w:rsid w:val="0096225C"/>
    <w:rsid w:val="00962907"/>
    <w:rsid w:val="00962EB9"/>
    <w:rsid w:val="00964002"/>
    <w:rsid w:val="009656D8"/>
    <w:rsid w:val="0096691F"/>
    <w:rsid w:val="009743F1"/>
    <w:rsid w:val="00976A28"/>
    <w:rsid w:val="00977952"/>
    <w:rsid w:val="00980D40"/>
    <w:rsid w:val="00981984"/>
    <w:rsid w:val="00981FB3"/>
    <w:rsid w:val="00982565"/>
    <w:rsid w:val="00983E52"/>
    <w:rsid w:val="00991E39"/>
    <w:rsid w:val="00992425"/>
    <w:rsid w:val="00993E13"/>
    <w:rsid w:val="00995248"/>
    <w:rsid w:val="009970CE"/>
    <w:rsid w:val="009A085B"/>
    <w:rsid w:val="009A0B2E"/>
    <w:rsid w:val="009A6E69"/>
    <w:rsid w:val="009A7737"/>
    <w:rsid w:val="009B0DE9"/>
    <w:rsid w:val="009B0FD8"/>
    <w:rsid w:val="009B17A7"/>
    <w:rsid w:val="009B1825"/>
    <w:rsid w:val="009B3614"/>
    <w:rsid w:val="009B378C"/>
    <w:rsid w:val="009B3AC9"/>
    <w:rsid w:val="009B48E8"/>
    <w:rsid w:val="009B54F2"/>
    <w:rsid w:val="009C100F"/>
    <w:rsid w:val="009C275E"/>
    <w:rsid w:val="009D0165"/>
    <w:rsid w:val="009D152E"/>
    <w:rsid w:val="009D2908"/>
    <w:rsid w:val="009D2F8A"/>
    <w:rsid w:val="009D57A5"/>
    <w:rsid w:val="009D59FF"/>
    <w:rsid w:val="009E0200"/>
    <w:rsid w:val="009E3961"/>
    <w:rsid w:val="009E3D07"/>
    <w:rsid w:val="009E416B"/>
    <w:rsid w:val="009E7048"/>
    <w:rsid w:val="009E70E5"/>
    <w:rsid w:val="009F2128"/>
    <w:rsid w:val="009F3B44"/>
    <w:rsid w:val="009F4D93"/>
    <w:rsid w:val="00A00427"/>
    <w:rsid w:val="00A009BC"/>
    <w:rsid w:val="00A00B44"/>
    <w:rsid w:val="00A01CBD"/>
    <w:rsid w:val="00A02FA6"/>
    <w:rsid w:val="00A043CB"/>
    <w:rsid w:val="00A05700"/>
    <w:rsid w:val="00A12E3C"/>
    <w:rsid w:val="00A13D46"/>
    <w:rsid w:val="00A20436"/>
    <w:rsid w:val="00A21693"/>
    <w:rsid w:val="00A220E8"/>
    <w:rsid w:val="00A224DC"/>
    <w:rsid w:val="00A2301A"/>
    <w:rsid w:val="00A23970"/>
    <w:rsid w:val="00A256ED"/>
    <w:rsid w:val="00A25EC3"/>
    <w:rsid w:val="00A31D58"/>
    <w:rsid w:val="00A35D75"/>
    <w:rsid w:val="00A37816"/>
    <w:rsid w:val="00A403E0"/>
    <w:rsid w:val="00A40518"/>
    <w:rsid w:val="00A44A91"/>
    <w:rsid w:val="00A44B54"/>
    <w:rsid w:val="00A44DAC"/>
    <w:rsid w:val="00A504C3"/>
    <w:rsid w:val="00A55123"/>
    <w:rsid w:val="00A5637C"/>
    <w:rsid w:val="00A57621"/>
    <w:rsid w:val="00A64BC7"/>
    <w:rsid w:val="00A65847"/>
    <w:rsid w:val="00A66140"/>
    <w:rsid w:val="00A66484"/>
    <w:rsid w:val="00A66D79"/>
    <w:rsid w:val="00A670F0"/>
    <w:rsid w:val="00A67888"/>
    <w:rsid w:val="00A702B6"/>
    <w:rsid w:val="00A7255D"/>
    <w:rsid w:val="00A72D41"/>
    <w:rsid w:val="00A73CB2"/>
    <w:rsid w:val="00A74853"/>
    <w:rsid w:val="00A75283"/>
    <w:rsid w:val="00A75C84"/>
    <w:rsid w:val="00A807F4"/>
    <w:rsid w:val="00A81CE7"/>
    <w:rsid w:val="00A84A65"/>
    <w:rsid w:val="00A85525"/>
    <w:rsid w:val="00A92A98"/>
    <w:rsid w:val="00A93B5E"/>
    <w:rsid w:val="00A94836"/>
    <w:rsid w:val="00A95E83"/>
    <w:rsid w:val="00A97566"/>
    <w:rsid w:val="00A977CB"/>
    <w:rsid w:val="00AA0017"/>
    <w:rsid w:val="00AA3033"/>
    <w:rsid w:val="00AA5188"/>
    <w:rsid w:val="00AA7AF0"/>
    <w:rsid w:val="00AB24A7"/>
    <w:rsid w:val="00AB3313"/>
    <w:rsid w:val="00AB4E18"/>
    <w:rsid w:val="00AB72E6"/>
    <w:rsid w:val="00AB7550"/>
    <w:rsid w:val="00AC25AE"/>
    <w:rsid w:val="00AC2E34"/>
    <w:rsid w:val="00AC314A"/>
    <w:rsid w:val="00AC4414"/>
    <w:rsid w:val="00AC4F2A"/>
    <w:rsid w:val="00AD09E2"/>
    <w:rsid w:val="00AD1324"/>
    <w:rsid w:val="00AE0A6D"/>
    <w:rsid w:val="00AE10BF"/>
    <w:rsid w:val="00AE277B"/>
    <w:rsid w:val="00AE4E96"/>
    <w:rsid w:val="00AF0D0F"/>
    <w:rsid w:val="00B00852"/>
    <w:rsid w:val="00B031B7"/>
    <w:rsid w:val="00B03B32"/>
    <w:rsid w:val="00B05BE9"/>
    <w:rsid w:val="00B06397"/>
    <w:rsid w:val="00B068AB"/>
    <w:rsid w:val="00B06BE1"/>
    <w:rsid w:val="00B10691"/>
    <w:rsid w:val="00B1135A"/>
    <w:rsid w:val="00B127C0"/>
    <w:rsid w:val="00B12883"/>
    <w:rsid w:val="00B12BE3"/>
    <w:rsid w:val="00B133E8"/>
    <w:rsid w:val="00B13F53"/>
    <w:rsid w:val="00B14346"/>
    <w:rsid w:val="00B2088B"/>
    <w:rsid w:val="00B23965"/>
    <w:rsid w:val="00B243BC"/>
    <w:rsid w:val="00B24A27"/>
    <w:rsid w:val="00B25EDF"/>
    <w:rsid w:val="00B27082"/>
    <w:rsid w:val="00B27C1B"/>
    <w:rsid w:val="00B307CD"/>
    <w:rsid w:val="00B3384A"/>
    <w:rsid w:val="00B35795"/>
    <w:rsid w:val="00B36444"/>
    <w:rsid w:val="00B41878"/>
    <w:rsid w:val="00B41DAB"/>
    <w:rsid w:val="00B421BB"/>
    <w:rsid w:val="00B43FED"/>
    <w:rsid w:val="00B4543D"/>
    <w:rsid w:val="00B50A38"/>
    <w:rsid w:val="00B53579"/>
    <w:rsid w:val="00B60A4E"/>
    <w:rsid w:val="00B63C57"/>
    <w:rsid w:val="00B64D18"/>
    <w:rsid w:val="00B65097"/>
    <w:rsid w:val="00B6538C"/>
    <w:rsid w:val="00B66068"/>
    <w:rsid w:val="00B660E4"/>
    <w:rsid w:val="00B6662B"/>
    <w:rsid w:val="00B70712"/>
    <w:rsid w:val="00B719A0"/>
    <w:rsid w:val="00B71C67"/>
    <w:rsid w:val="00B71ED0"/>
    <w:rsid w:val="00B73FAF"/>
    <w:rsid w:val="00B749FA"/>
    <w:rsid w:val="00B752F5"/>
    <w:rsid w:val="00B755D6"/>
    <w:rsid w:val="00B76101"/>
    <w:rsid w:val="00B8036C"/>
    <w:rsid w:val="00B823DC"/>
    <w:rsid w:val="00B84274"/>
    <w:rsid w:val="00B84C8D"/>
    <w:rsid w:val="00B931B4"/>
    <w:rsid w:val="00B9367F"/>
    <w:rsid w:val="00B9535D"/>
    <w:rsid w:val="00B95B30"/>
    <w:rsid w:val="00B96FB7"/>
    <w:rsid w:val="00BA0496"/>
    <w:rsid w:val="00BA0B7C"/>
    <w:rsid w:val="00BA2592"/>
    <w:rsid w:val="00BA47F1"/>
    <w:rsid w:val="00BA77F8"/>
    <w:rsid w:val="00BB136F"/>
    <w:rsid w:val="00BB5F62"/>
    <w:rsid w:val="00BB7B84"/>
    <w:rsid w:val="00BC1DB7"/>
    <w:rsid w:val="00BC363B"/>
    <w:rsid w:val="00BC3DD1"/>
    <w:rsid w:val="00BC6979"/>
    <w:rsid w:val="00BD1DC3"/>
    <w:rsid w:val="00BD1F32"/>
    <w:rsid w:val="00BD2718"/>
    <w:rsid w:val="00BD2E64"/>
    <w:rsid w:val="00BD38CD"/>
    <w:rsid w:val="00BD4E02"/>
    <w:rsid w:val="00BE03F7"/>
    <w:rsid w:val="00BE1AEE"/>
    <w:rsid w:val="00BE29E6"/>
    <w:rsid w:val="00BE4447"/>
    <w:rsid w:val="00BE5FDC"/>
    <w:rsid w:val="00BE7133"/>
    <w:rsid w:val="00BE71A5"/>
    <w:rsid w:val="00BF2204"/>
    <w:rsid w:val="00BF2421"/>
    <w:rsid w:val="00BF25D6"/>
    <w:rsid w:val="00BF6B5F"/>
    <w:rsid w:val="00C00ADC"/>
    <w:rsid w:val="00C02B5F"/>
    <w:rsid w:val="00C056FF"/>
    <w:rsid w:val="00C06903"/>
    <w:rsid w:val="00C07ED0"/>
    <w:rsid w:val="00C11E75"/>
    <w:rsid w:val="00C12B08"/>
    <w:rsid w:val="00C12D66"/>
    <w:rsid w:val="00C150E8"/>
    <w:rsid w:val="00C16990"/>
    <w:rsid w:val="00C20BCB"/>
    <w:rsid w:val="00C22C1A"/>
    <w:rsid w:val="00C232E4"/>
    <w:rsid w:val="00C23746"/>
    <w:rsid w:val="00C243E3"/>
    <w:rsid w:val="00C27670"/>
    <w:rsid w:val="00C31DAD"/>
    <w:rsid w:val="00C34546"/>
    <w:rsid w:val="00C35735"/>
    <w:rsid w:val="00C41400"/>
    <w:rsid w:val="00C41D38"/>
    <w:rsid w:val="00C426BE"/>
    <w:rsid w:val="00C434CE"/>
    <w:rsid w:val="00C45FDE"/>
    <w:rsid w:val="00C51F28"/>
    <w:rsid w:val="00C53185"/>
    <w:rsid w:val="00C533DD"/>
    <w:rsid w:val="00C564DE"/>
    <w:rsid w:val="00C5654D"/>
    <w:rsid w:val="00C6084B"/>
    <w:rsid w:val="00C6279E"/>
    <w:rsid w:val="00C627D8"/>
    <w:rsid w:val="00C62DBF"/>
    <w:rsid w:val="00C6472D"/>
    <w:rsid w:val="00C64DF3"/>
    <w:rsid w:val="00C6673A"/>
    <w:rsid w:val="00C67FBA"/>
    <w:rsid w:val="00C70D85"/>
    <w:rsid w:val="00C71295"/>
    <w:rsid w:val="00C73B23"/>
    <w:rsid w:val="00C7569E"/>
    <w:rsid w:val="00C771B5"/>
    <w:rsid w:val="00C82157"/>
    <w:rsid w:val="00C82E1E"/>
    <w:rsid w:val="00C83281"/>
    <w:rsid w:val="00C84F74"/>
    <w:rsid w:val="00C86A10"/>
    <w:rsid w:val="00C875CC"/>
    <w:rsid w:val="00C877A5"/>
    <w:rsid w:val="00C90D65"/>
    <w:rsid w:val="00C9117A"/>
    <w:rsid w:val="00C91180"/>
    <w:rsid w:val="00C91FBE"/>
    <w:rsid w:val="00C92BFF"/>
    <w:rsid w:val="00C95750"/>
    <w:rsid w:val="00CA2064"/>
    <w:rsid w:val="00CA32E8"/>
    <w:rsid w:val="00CA4EE3"/>
    <w:rsid w:val="00CA5BE3"/>
    <w:rsid w:val="00CA7456"/>
    <w:rsid w:val="00CB0DBF"/>
    <w:rsid w:val="00CB44D4"/>
    <w:rsid w:val="00CB4BE6"/>
    <w:rsid w:val="00CB6386"/>
    <w:rsid w:val="00CC06B4"/>
    <w:rsid w:val="00CC30A4"/>
    <w:rsid w:val="00CC4AA5"/>
    <w:rsid w:val="00CC4EC6"/>
    <w:rsid w:val="00CC60E3"/>
    <w:rsid w:val="00CC7909"/>
    <w:rsid w:val="00CD09F6"/>
    <w:rsid w:val="00CD0C4D"/>
    <w:rsid w:val="00CD30A5"/>
    <w:rsid w:val="00CD37DC"/>
    <w:rsid w:val="00CD3B47"/>
    <w:rsid w:val="00CD4B97"/>
    <w:rsid w:val="00CD60BC"/>
    <w:rsid w:val="00CD60C8"/>
    <w:rsid w:val="00CD6C07"/>
    <w:rsid w:val="00CD6C86"/>
    <w:rsid w:val="00CE0130"/>
    <w:rsid w:val="00CE0DFE"/>
    <w:rsid w:val="00CE17EB"/>
    <w:rsid w:val="00CE1ADE"/>
    <w:rsid w:val="00CE3923"/>
    <w:rsid w:val="00CE4C89"/>
    <w:rsid w:val="00CE60E3"/>
    <w:rsid w:val="00CE73E2"/>
    <w:rsid w:val="00CE74A8"/>
    <w:rsid w:val="00CF02AB"/>
    <w:rsid w:val="00CF20B9"/>
    <w:rsid w:val="00CF4B18"/>
    <w:rsid w:val="00CF4B2C"/>
    <w:rsid w:val="00CF4E0E"/>
    <w:rsid w:val="00CF6072"/>
    <w:rsid w:val="00D00195"/>
    <w:rsid w:val="00D03A7C"/>
    <w:rsid w:val="00D0484D"/>
    <w:rsid w:val="00D0599B"/>
    <w:rsid w:val="00D10177"/>
    <w:rsid w:val="00D13440"/>
    <w:rsid w:val="00D14B7F"/>
    <w:rsid w:val="00D14D0C"/>
    <w:rsid w:val="00D15374"/>
    <w:rsid w:val="00D16305"/>
    <w:rsid w:val="00D16928"/>
    <w:rsid w:val="00D17E3C"/>
    <w:rsid w:val="00D2110A"/>
    <w:rsid w:val="00D21C27"/>
    <w:rsid w:val="00D23A8E"/>
    <w:rsid w:val="00D23B4D"/>
    <w:rsid w:val="00D2468D"/>
    <w:rsid w:val="00D2676E"/>
    <w:rsid w:val="00D30894"/>
    <w:rsid w:val="00D30B47"/>
    <w:rsid w:val="00D30CFD"/>
    <w:rsid w:val="00D348CA"/>
    <w:rsid w:val="00D406F5"/>
    <w:rsid w:val="00D41029"/>
    <w:rsid w:val="00D41AB1"/>
    <w:rsid w:val="00D4289A"/>
    <w:rsid w:val="00D42F71"/>
    <w:rsid w:val="00D43072"/>
    <w:rsid w:val="00D43EB5"/>
    <w:rsid w:val="00D50F30"/>
    <w:rsid w:val="00D51475"/>
    <w:rsid w:val="00D52632"/>
    <w:rsid w:val="00D52735"/>
    <w:rsid w:val="00D5274B"/>
    <w:rsid w:val="00D538F5"/>
    <w:rsid w:val="00D54851"/>
    <w:rsid w:val="00D56E05"/>
    <w:rsid w:val="00D5723C"/>
    <w:rsid w:val="00D613AB"/>
    <w:rsid w:val="00D61A5E"/>
    <w:rsid w:val="00D65F9B"/>
    <w:rsid w:val="00D66713"/>
    <w:rsid w:val="00D67412"/>
    <w:rsid w:val="00D700D1"/>
    <w:rsid w:val="00D704F7"/>
    <w:rsid w:val="00D70AC1"/>
    <w:rsid w:val="00D70ECD"/>
    <w:rsid w:val="00D71C97"/>
    <w:rsid w:val="00D73BB7"/>
    <w:rsid w:val="00D73C20"/>
    <w:rsid w:val="00D73DCF"/>
    <w:rsid w:val="00D775C7"/>
    <w:rsid w:val="00D77665"/>
    <w:rsid w:val="00D80E3C"/>
    <w:rsid w:val="00D80EF2"/>
    <w:rsid w:val="00D845E2"/>
    <w:rsid w:val="00D84C4B"/>
    <w:rsid w:val="00D84D60"/>
    <w:rsid w:val="00D86F91"/>
    <w:rsid w:val="00D87F03"/>
    <w:rsid w:val="00D904FE"/>
    <w:rsid w:val="00D9061A"/>
    <w:rsid w:val="00D92941"/>
    <w:rsid w:val="00D92C1B"/>
    <w:rsid w:val="00D951DE"/>
    <w:rsid w:val="00D955BA"/>
    <w:rsid w:val="00DA039F"/>
    <w:rsid w:val="00DA0BDD"/>
    <w:rsid w:val="00DA0E52"/>
    <w:rsid w:val="00DA17D4"/>
    <w:rsid w:val="00DA1F28"/>
    <w:rsid w:val="00DA2088"/>
    <w:rsid w:val="00DA4063"/>
    <w:rsid w:val="00DA68C6"/>
    <w:rsid w:val="00DB0296"/>
    <w:rsid w:val="00DB0635"/>
    <w:rsid w:val="00DB1ED0"/>
    <w:rsid w:val="00DB2841"/>
    <w:rsid w:val="00DB3C06"/>
    <w:rsid w:val="00DB7A45"/>
    <w:rsid w:val="00DC0AD9"/>
    <w:rsid w:val="00DC1920"/>
    <w:rsid w:val="00DC5ABE"/>
    <w:rsid w:val="00DD0AED"/>
    <w:rsid w:val="00DD1017"/>
    <w:rsid w:val="00DD3243"/>
    <w:rsid w:val="00DD32F5"/>
    <w:rsid w:val="00DD3A16"/>
    <w:rsid w:val="00DD49EE"/>
    <w:rsid w:val="00DD604F"/>
    <w:rsid w:val="00DD683E"/>
    <w:rsid w:val="00DE1EED"/>
    <w:rsid w:val="00DE3622"/>
    <w:rsid w:val="00DE4EFA"/>
    <w:rsid w:val="00DF0EA5"/>
    <w:rsid w:val="00DF1A40"/>
    <w:rsid w:val="00DF1C95"/>
    <w:rsid w:val="00DF27F0"/>
    <w:rsid w:val="00DF2A88"/>
    <w:rsid w:val="00DF591D"/>
    <w:rsid w:val="00E01185"/>
    <w:rsid w:val="00E028D2"/>
    <w:rsid w:val="00E03E32"/>
    <w:rsid w:val="00E04F0E"/>
    <w:rsid w:val="00E068B0"/>
    <w:rsid w:val="00E0769E"/>
    <w:rsid w:val="00E12262"/>
    <w:rsid w:val="00E1245E"/>
    <w:rsid w:val="00E13816"/>
    <w:rsid w:val="00E14853"/>
    <w:rsid w:val="00E14F9A"/>
    <w:rsid w:val="00E1500C"/>
    <w:rsid w:val="00E17316"/>
    <w:rsid w:val="00E235F0"/>
    <w:rsid w:val="00E23A10"/>
    <w:rsid w:val="00E24E28"/>
    <w:rsid w:val="00E268CA"/>
    <w:rsid w:val="00E27DE9"/>
    <w:rsid w:val="00E3073E"/>
    <w:rsid w:val="00E33F59"/>
    <w:rsid w:val="00E372E2"/>
    <w:rsid w:val="00E402B0"/>
    <w:rsid w:val="00E40810"/>
    <w:rsid w:val="00E41024"/>
    <w:rsid w:val="00E41C28"/>
    <w:rsid w:val="00E4296D"/>
    <w:rsid w:val="00E43153"/>
    <w:rsid w:val="00E504F6"/>
    <w:rsid w:val="00E50BA8"/>
    <w:rsid w:val="00E50C94"/>
    <w:rsid w:val="00E50E67"/>
    <w:rsid w:val="00E52245"/>
    <w:rsid w:val="00E5738B"/>
    <w:rsid w:val="00E62171"/>
    <w:rsid w:val="00E64A1D"/>
    <w:rsid w:val="00E64AE0"/>
    <w:rsid w:val="00E65778"/>
    <w:rsid w:val="00E66036"/>
    <w:rsid w:val="00E67154"/>
    <w:rsid w:val="00E70AF3"/>
    <w:rsid w:val="00E70B43"/>
    <w:rsid w:val="00E71418"/>
    <w:rsid w:val="00E7141C"/>
    <w:rsid w:val="00E719BB"/>
    <w:rsid w:val="00E71AFE"/>
    <w:rsid w:val="00E72A05"/>
    <w:rsid w:val="00E766DD"/>
    <w:rsid w:val="00E81679"/>
    <w:rsid w:val="00E81830"/>
    <w:rsid w:val="00E83F2E"/>
    <w:rsid w:val="00E84526"/>
    <w:rsid w:val="00E8617F"/>
    <w:rsid w:val="00E865F6"/>
    <w:rsid w:val="00E90510"/>
    <w:rsid w:val="00E94553"/>
    <w:rsid w:val="00E95E8A"/>
    <w:rsid w:val="00E96222"/>
    <w:rsid w:val="00EA1305"/>
    <w:rsid w:val="00EA28C1"/>
    <w:rsid w:val="00EA6B83"/>
    <w:rsid w:val="00EA6E48"/>
    <w:rsid w:val="00EB0106"/>
    <w:rsid w:val="00EB0606"/>
    <w:rsid w:val="00EB0A81"/>
    <w:rsid w:val="00EB20D9"/>
    <w:rsid w:val="00EB2AB6"/>
    <w:rsid w:val="00EB72B7"/>
    <w:rsid w:val="00EC0233"/>
    <w:rsid w:val="00EC03B8"/>
    <w:rsid w:val="00EC0719"/>
    <w:rsid w:val="00EC1EC6"/>
    <w:rsid w:val="00EC6B73"/>
    <w:rsid w:val="00EC7180"/>
    <w:rsid w:val="00ED147A"/>
    <w:rsid w:val="00ED53FF"/>
    <w:rsid w:val="00ED6327"/>
    <w:rsid w:val="00EE0CD6"/>
    <w:rsid w:val="00EE4736"/>
    <w:rsid w:val="00EE7EF4"/>
    <w:rsid w:val="00EF020D"/>
    <w:rsid w:val="00EF1430"/>
    <w:rsid w:val="00EF3229"/>
    <w:rsid w:val="00EF3BD1"/>
    <w:rsid w:val="00EF606A"/>
    <w:rsid w:val="00EF7608"/>
    <w:rsid w:val="00EF77E6"/>
    <w:rsid w:val="00F01A1B"/>
    <w:rsid w:val="00F035DC"/>
    <w:rsid w:val="00F04E5F"/>
    <w:rsid w:val="00F1074D"/>
    <w:rsid w:val="00F1099C"/>
    <w:rsid w:val="00F11D46"/>
    <w:rsid w:val="00F120D1"/>
    <w:rsid w:val="00F22F02"/>
    <w:rsid w:val="00F2615B"/>
    <w:rsid w:val="00F272CE"/>
    <w:rsid w:val="00F30808"/>
    <w:rsid w:val="00F30AA2"/>
    <w:rsid w:val="00F31C5B"/>
    <w:rsid w:val="00F31F48"/>
    <w:rsid w:val="00F339D9"/>
    <w:rsid w:val="00F40A35"/>
    <w:rsid w:val="00F511B5"/>
    <w:rsid w:val="00F529E0"/>
    <w:rsid w:val="00F535E0"/>
    <w:rsid w:val="00F56C19"/>
    <w:rsid w:val="00F608B3"/>
    <w:rsid w:val="00F6184A"/>
    <w:rsid w:val="00F620C5"/>
    <w:rsid w:val="00F626D3"/>
    <w:rsid w:val="00F63784"/>
    <w:rsid w:val="00F65752"/>
    <w:rsid w:val="00F672F4"/>
    <w:rsid w:val="00F73716"/>
    <w:rsid w:val="00F761C1"/>
    <w:rsid w:val="00F802FF"/>
    <w:rsid w:val="00F82645"/>
    <w:rsid w:val="00F8389A"/>
    <w:rsid w:val="00F84C21"/>
    <w:rsid w:val="00F84C60"/>
    <w:rsid w:val="00F86489"/>
    <w:rsid w:val="00F8714E"/>
    <w:rsid w:val="00F90005"/>
    <w:rsid w:val="00F900D7"/>
    <w:rsid w:val="00F90DAD"/>
    <w:rsid w:val="00F92BE2"/>
    <w:rsid w:val="00F95853"/>
    <w:rsid w:val="00F962BB"/>
    <w:rsid w:val="00F96CBA"/>
    <w:rsid w:val="00F97E58"/>
    <w:rsid w:val="00FA2815"/>
    <w:rsid w:val="00FB07CC"/>
    <w:rsid w:val="00FB1D62"/>
    <w:rsid w:val="00FC396D"/>
    <w:rsid w:val="00FC5D7D"/>
    <w:rsid w:val="00FC5F6F"/>
    <w:rsid w:val="00FC6FE0"/>
    <w:rsid w:val="00FC7D6A"/>
    <w:rsid w:val="00FD03BD"/>
    <w:rsid w:val="00FD3476"/>
    <w:rsid w:val="00FD4BD5"/>
    <w:rsid w:val="00FD5D8D"/>
    <w:rsid w:val="00FD7AD4"/>
    <w:rsid w:val="00FE010A"/>
    <w:rsid w:val="00FE05E0"/>
    <w:rsid w:val="00FE1501"/>
    <w:rsid w:val="00FE47C2"/>
    <w:rsid w:val="00FE5AA4"/>
    <w:rsid w:val="00FF0206"/>
    <w:rsid w:val="00FF3B98"/>
    <w:rsid w:val="00FF3C3D"/>
    <w:rsid w:val="00FF715D"/>
    <w:rsid w:val="00FF73C1"/>
    <w:rsid w:val="00FF7C95"/>
    <w:rsid w:val="01221E8A"/>
    <w:rsid w:val="012B1871"/>
    <w:rsid w:val="01466A40"/>
    <w:rsid w:val="017C171A"/>
    <w:rsid w:val="01975374"/>
    <w:rsid w:val="01D37E15"/>
    <w:rsid w:val="02566E4D"/>
    <w:rsid w:val="025A1967"/>
    <w:rsid w:val="0297326F"/>
    <w:rsid w:val="02A550ED"/>
    <w:rsid w:val="02AC5A72"/>
    <w:rsid w:val="02F601CD"/>
    <w:rsid w:val="03172016"/>
    <w:rsid w:val="03363B36"/>
    <w:rsid w:val="0349029F"/>
    <w:rsid w:val="035B4B9D"/>
    <w:rsid w:val="037443FA"/>
    <w:rsid w:val="03C07BAD"/>
    <w:rsid w:val="03C913EA"/>
    <w:rsid w:val="03E64403"/>
    <w:rsid w:val="04105C4A"/>
    <w:rsid w:val="043B7DF2"/>
    <w:rsid w:val="04662865"/>
    <w:rsid w:val="04686F95"/>
    <w:rsid w:val="04B7062E"/>
    <w:rsid w:val="05022C46"/>
    <w:rsid w:val="050F7EF6"/>
    <w:rsid w:val="05143597"/>
    <w:rsid w:val="05BA1C47"/>
    <w:rsid w:val="0604137D"/>
    <w:rsid w:val="06D05B8B"/>
    <w:rsid w:val="07336C94"/>
    <w:rsid w:val="076230C0"/>
    <w:rsid w:val="07763E4C"/>
    <w:rsid w:val="07910BAD"/>
    <w:rsid w:val="07AC7D11"/>
    <w:rsid w:val="07CC1C06"/>
    <w:rsid w:val="07D66492"/>
    <w:rsid w:val="07FD766B"/>
    <w:rsid w:val="088B0831"/>
    <w:rsid w:val="08A5568E"/>
    <w:rsid w:val="08EF6F0A"/>
    <w:rsid w:val="093F5A1E"/>
    <w:rsid w:val="0942543F"/>
    <w:rsid w:val="095E49F5"/>
    <w:rsid w:val="09AD7E49"/>
    <w:rsid w:val="09EF3EE1"/>
    <w:rsid w:val="09F13061"/>
    <w:rsid w:val="0A035530"/>
    <w:rsid w:val="0A9621BF"/>
    <w:rsid w:val="0AE03213"/>
    <w:rsid w:val="0B403B27"/>
    <w:rsid w:val="0B4A13FB"/>
    <w:rsid w:val="0B505B6C"/>
    <w:rsid w:val="0B7247E5"/>
    <w:rsid w:val="0B8D0D7F"/>
    <w:rsid w:val="0BDE376F"/>
    <w:rsid w:val="0BE669B0"/>
    <w:rsid w:val="0BFF58CB"/>
    <w:rsid w:val="0C280337"/>
    <w:rsid w:val="0C5506D7"/>
    <w:rsid w:val="0C796169"/>
    <w:rsid w:val="0CC14878"/>
    <w:rsid w:val="0CC221D5"/>
    <w:rsid w:val="0D287590"/>
    <w:rsid w:val="0D34391E"/>
    <w:rsid w:val="0D5A0F6E"/>
    <w:rsid w:val="0DCD4261"/>
    <w:rsid w:val="0E1A54BA"/>
    <w:rsid w:val="0E27414A"/>
    <w:rsid w:val="0E2E007A"/>
    <w:rsid w:val="0E346953"/>
    <w:rsid w:val="0E513C83"/>
    <w:rsid w:val="0F1B4C1C"/>
    <w:rsid w:val="0F2D03C6"/>
    <w:rsid w:val="0F7E4694"/>
    <w:rsid w:val="0FEE0557"/>
    <w:rsid w:val="10160DC6"/>
    <w:rsid w:val="10474B6A"/>
    <w:rsid w:val="105A2F79"/>
    <w:rsid w:val="108D265E"/>
    <w:rsid w:val="10EF1786"/>
    <w:rsid w:val="110D1A5A"/>
    <w:rsid w:val="1114319C"/>
    <w:rsid w:val="11386986"/>
    <w:rsid w:val="11C06999"/>
    <w:rsid w:val="11E00636"/>
    <w:rsid w:val="12300F93"/>
    <w:rsid w:val="127F26BC"/>
    <w:rsid w:val="12C044B7"/>
    <w:rsid w:val="13192107"/>
    <w:rsid w:val="13402D0C"/>
    <w:rsid w:val="13691CE5"/>
    <w:rsid w:val="136A5BCA"/>
    <w:rsid w:val="136D0BB3"/>
    <w:rsid w:val="14985759"/>
    <w:rsid w:val="14BE2619"/>
    <w:rsid w:val="14EE06E6"/>
    <w:rsid w:val="15261067"/>
    <w:rsid w:val="15BE6BF3"/>
    <w:rsid w:val="15BF64B0"/>
    <w:rsid w:val="15C879B8"/>
    <w:rsid w:val="15E778CB"/>
    <w:rsid w:val="161E40AD"/>
    <w:rsid w:val="162E3CF6"/>
    <w:rsid w:val="16352574"/>
    <w:rsid w:val="164A2BA1"/>
    <w:rsid w:val="16B04344"/>
    <w:rsid w:val="16F908D0"/>
    <w:rsid w:val="17104510"/>
    <w:rsid w:val="174B1C8C"/>
    <w:rsid w:val="17AA6C46"/>
    <w:rsid w:val="17CD36FF"/>
    <w:rsid w:val="187126DC"/>
    <w:rsid w:val="192125B1"/>
    <w:rsid w:val="19516F9F"/>
    <w:rsid w:val="19D430CE"/>
    <w:rsid w:val="1A1815DD"/>
    <w:rsid w:val="1A191467"/>
    <w:rsid w:val="1A825D8B"/>
    <w:rsid w:val="1AA27F3B"/>
    <w:rsid w:val="1AB0065C"/>
    <w:rsid w:val="1BB2620F"/>
    <w:rsid w:val="1BB627ED"/>
    <w:rsid w:val="1C054479"/>
    <w:rsid w:val="1C521DEE"/>
    <w:rsid w:val="1C684283"/>
    <w:rsid w:val="1C784D33"/>
    <w:rsid w:val="1D4A5533"/>
    <w:rsid w:val="1D8A6744"/>
    <w:rsid w:val="1D907F11"/>
    <w:rsid w:val="1DB4146F"/>
    <w:rsid w:val="1DFD65AE"/>
    <w:rsid w:val="1EAA2211"/>
    <w:rsid w:val="1F1E417C"/>
    <w:rsid w:val="1F243221"/>
    <w:rsid w:val="1FF34155"/>
    <w:rsid w:val="209D7386"/>
    <w:rsid w:val="20B36948"/>
    <w:rsid w:val="21011E53"/>
    <w:rsid w:val="212F1505"/>
    <w:rsid w:val="21537C68"/>
    <w:rsid w:val="21980649"/>
    <w:rsid w:val="21B956F2"/>
    <w:rsid w:val="225648A3"/>
    <w:rsid w:val="229E1117"/>
    <w:rsid w:val="22E454B1"/>
    <w:rsid w:val="23054BEA"/>
    <w:rsid w:val="23060A0F"/>
    <w:rsid w:val="2306736F"/>
    <w:rsid w:val="23220F7E"/>
    <w:rsid w:val="232A07D2"/>
    <w:rsid w:val="233D469E"/>
    <w:rsid w:val="234A41BF"/>
    <w:rsid w:val="238236C6"/>
    <w:rsid w:val="23881F13"/>
    <w:rsid w:val="23A14082"/>
    <w:rsid w:val="23D45996"/>
    <w:rsid w:val="23D94F52"/>
    <w:rsid w:val="24094307"/>
    <w:rsid w:val="243D4913"/>
    <w:rsid w:val="246B687B"/>
    <w:rsid w:val="24703907"/>
    <w:rsid w:val="248E725A"/>
    <w:rsid w:val="24E16CB2"/>
    <w:rsid w:val="24E92231"/>
    <w:rsid w:val="24F75CA1"/>
    <w:rsid w:val="252B4C03"/>
    <w:rsid w:val="255A43C8"/>
    <w:rsid w:val="25AB5577"/>
    <w:rsid w:val="25F65328"/>
    <w:rsid w:val="25FD517E"/>
    <w:rsid w:val="26026015"/>
    <w:rsid w:val="2662226B"/>
    <w:rsid w:val="266C11C1"/>
    <w:rsid w:val="268B3AB8"/>
    <w:rsid w:val="26CB5F87"/>
    <w:rsid w:val="270E76D7"/>
    <w:rsid w:val="27B0313F"/>
    <w:rsid w:val="27BE1AAF"/>
    <w:rsid w:val="27CD507B"/>
    <w:rsid w:val="27DC2819"/>
    <w:rsid w:val="284D46BC"/>
    <w:rsid w:val="28622FF4"/>
    <w:rsid w:val="28745CB1"/>
    <w:rsid w:val="28D10588"/>
    <w:rsid w:val="28FC4E3F"/>
    <w:rsid w:val="29321F7B"/>
    <w:rsid w:val="295707DA"/>
    <w:rsid w:val="2A413B5F"/>
    <w:rsid w:val="2A554646"/>
    <w:rsid w:val="2A8A2A39"/>
    <w:rsid w:val="2AB10E26"/>
    <w:rsid w:val="2BBA6EDE"/>
    <w:rsid w:val="2BD251C6"/>
    <w:rsid w:val="2BFF4040"/>
    <w:rsid w:val="2C474A82"/>
    <w:rsid w:val="2C51077F"/>
    <w:rsid w:val="2CDF4D92"/>
    <w:rsid w:val="2CE22E74"/>
    <w:rsid w:val="2CEA705A"/>
    <w:rsid w:val="2CED1586"/>
    <w:rsid w:val="2D260E2E"/>
    <w:rsid w:val="2D62777A"/>
    <w:rsid w:val="2D85090A"/>
    <w:rsid w:val="2D8A67BD"/>
    <w:rsid w:val="2DCF7E08"/>
    <w:rsid w:val="2E6600A5"/>
    <w:rsid w:val="2E6D662E"/>
    <w:rsid w:val="2E7F4FB1"/>
    <w:rsid w:val="2EC920D3"/>
    <w:rsid w:val="2F092113"/>
    <w:rsid w:val="2F3158B4"/>
    <w:rsid w:val="2F5B61A2"/>
    <w:rsid w:val="2FA179AC"/>
    <w:rsid w:val="30160203"/>
    <w:rsid w:val="30247B0A"/>
    <w:rsid w:val="305A4681"/>
    <w:rsid w:val="31542D3B"/>
    <w:rsid w:val="316917C7"/>
    <w:rsid w:val="31A879C7"/>
    <w:rsid w:val="31B03537"/>
    <w:rsid w:val="31B47051"/>
    <w:rsid w:val="31DC0D19"/>
    <w:rsid w:val="322D7444"/>
    <w:rsid w:val="326D2F44"/>
    <w:rsid w:val="327801C7"/>
    <w:rsid w:val="329A66B4"/>
    <w:rsid w:val="32CD0CD3"/>
    <w:rsid w:val="32CD6447"/>
    <w:rsid w:val="32DD5B8C"/>
    <w:rsid w:val="330F3366"/>
    <w:rsid w:val="3341474B"/>
    <w:rsid w:val="339D27E7"/>
    <w:rsid w:val="339D2F44"/>
    <w:rsid w:val="33A80871"/>
    <w:rsid w:val="33D24956"/>
    <w:rsid w:val="33DF048C"/>
    <w:rsid w:val="33E4303A"/>
    <w:rsid w:val="33E67218"/>
    <w:rsid w:val="3482761E"/>
    <w:rsid w:val="34A1428E"/>
    <w:rsid w:val="34B22265"/>
    <w:rsid w:val="34BB576E"/>
    <w:rsid w:val="34C01121"/>
    <w:rsid w:val="34FD3A44"/>
    <w:rsid w:val="35D066AE"/>
    <w:rsid w:val="3636428C"/>
    <w:rsid w:val="36402DF3"/>
    <w:rsid w:val="3646264E"/>
    <w:rsid w:val="3699519F"/>
    <w:rsid w:val="36C7204B"/>
    <w:rsid w:val="37132D42"/>
    <w:rsid w:val="37850B27"/>
    <w:rsid w:val="378C2513"/>
    <w:rsid w:val="37F21268"/>
    <w:rsid w:val="3828444D"/>
    <w:rsid w:val="38536107"/>
    <w:rsid w:val="38946F45"/>
    <w:rsid w:val="38A77E13"/>
    <w:rsid w:val="394D426F"/>
    <w:rsid w:val="39C000E7"/>
    <w:rsid w:val="3A195161"/>
    <w:rsid w:val="3A7A7190"/>
    <w:rsid w:val="3A916759"/>
    <w:rsid w:val="3AA5153A"/>
    <w:rsid w:val="3AC81640"/>
    <w:rsid w:val="3AE054D6"/>
    <w:rsid w:val="3AF217F8"/>
    <w:rsid w:val="3B1C4C29"/>
    <w:rsid w:val="3B556593"/>
    <w:rsid w:val="3B590754"/>
    <w:rsid w:val="3BA23556"/>
    <w:rsid w:val="3C640025"/>
    <w:rsid w:val="3C791179"/>
    <w:rsid w:val="3C8644A8"/>
    <w:rsid w:val="3CEA4C01"/>
    <w:rsid w:val="3D5D0316"/>
    <w:rsid w:val="3D8E1D87"/>
    <w:rsid w:val="3DDC492D"/>
    <w:rsid w:val="3E1426DA"/>
    <w:rsid w:val="3E3C28EA"/>
    <w:rsid w:val="3E7E4AC0"/>
    <w:rsid w:val="3E9660AD"/>
    <w:rsid w:val="3EBE3380"/>
    <w:rsid w:val="3EC51585"/>
    <w:rsid w:val="3F4F1125"/>
    <w:rsid w:val="3FC9347F"/>
    <w:rsid w:val="402839CC"/>
    <w:rsid w:val="407E52DB"/>
    <w:rsid w:val="40C43630"/>
    <w:rsid w:val="40E743ED"/>
    <w:rsid w:val="414D1852"/>
    <w:rsid w:val="422848CB"/>
    <w:rsid w:val="424400E4"/>
    <w:rsid w:val="424F7606"/>
    <w:rsid w:val="427F4B9D"/>
    <w:rsid w:val="42B3536D"/>
    <w:rsid w:val="42F9718C"/>
    <w:rsid w:val="43AE6903"/>
    <w:rsid w:val="43C60F84"/>
    <w:rsid w:val="43DB5379"/>
    <w:rsid w:val="44265599"/>
    <w:rsid w:val="44293363"/>
    <w:rsid w:val="44466D6D"/>
    <w:rsid w:val="44CE720F"/>
    <w:rsid w:val="44D97F92"/>
    <w:rsid w:val="44EB0431"/>
    <w:rsid w:val="44FE10A3"/>
    <w:rsid w:val="45002C52"/>
    <w:rsid w:val="45072D4B"/>
    <w:rsid w:val="455F5477"/>
    <w:rsid w:val="45682126"/>
    <w:rsid w:val="45BC5829"/>
    <w:rsid w:val="461811FF"/>
    <w:rsid w:val="465058E2"/>
    <w:rsid w:val="467476D2"/>
    <w:rsid w:val="46E6683E"/>
    <w:rsid w:val="47075A52"/>
    <w:rsid w:val="472C5572"/>
    <w:rsid w:val="47357FB5"/>
    <w:rsid w:val="474D38CF"/>
    <w:rsid w:val="47810676"/>
    <w:rsid w:val="47960B29"/>
    <w:rsid w:val="479C110D"/>
    <w:rsid w:val="479F769C"/>
    <w:rsid w:val="4808543C"/>
    <w:rsid w:val="484F4C09"/>
    <w:rsid w:val="48716774"/>
    <w:rsid w:val="487D4EF0"/>
    <w:rsid w:val="48A6020F"/>
    <w:rsid w:val="48C601FA"/>
    <w:rsid w:val="48C93D21"/>
    <w:rsid w:val="493F63FF"/>
    <w:rsid w:val="49DE1A1D"/>
    <w:rsid w:val="4A010676"/>
    <w:rsid w:val="4A354694"/>
    <w:rsid w:val="4A3E4C20"/>
    <w:rsid w:val="4A597C84"/>
    <w:rsid w:val="4A954D66"/>
    <w:rsid w:val="4AAD7829"/>
    <w:rsid w:val="4ADE6211"/>
    <w:rsid w:val="4B3D7489"/>
    <w:rsid w:val="4B5827B8"/>
    <w:rsid w:val="4B61369B"/>
    <w:rsid w:val="4B7B6065"/>
    <w:rsid w:val="4BE01C75"/>
    <w:rsid w:val="4C794910"/>
    <w:rsid w:val="4C8F25D6"/>
    <w:rsid w:val="4C8F7A86"/>
    <w:rsid w:val="4CD33046"/>
    <w:rsid w:val="4D2812DB"/>
    <w:rsid w:val="4D3E4231"/>
    <w:rsid w:val="4DA050F1"/>
    <w:rsid w:val="4DAA694E"/>
    <w:rsid w:val="4DAA7C47"/>
    <w:rsid w:val="4DD312A3"/>
    <w:rsid w:val="4DD71911"/>
    <w:rsid w:val="4DEF5564"/>
    <w:rsid w:val="4DF53C62"/>
    <w:rsid w:val="4E165A4E"/>
    <w:rsid w:val="4E266A6B"/>
    <w:rsid w:val="4E557E83"/>
    <w:rsid w:val="4E903512"/>
    <w:rsid w:val="4E9B1B4B"/>
    <w:rsid w:val="4EE82621"/>
    <w:rsid w:val="4F012E17"/>
    <w:rsid w:val="4F075C12"/>
    <w:rsid w:val="4F5D2EBA"/>
    <w:rsid w:val="4F7C4F46"/>
    <w:rsid w:val="4F896A35"/>
    <w:rsid w:val="4F9534AA"/>
    <w:rsid w:val="4F9D6744"/>
    <w:rsid w:val="50291C0B"/>
    <w:rsid w:val="503F434B"/>
    <w:rsid w:val="50A26924"/>
    <w:rsid w:val="50FF3670"/>
    <w:rsid w:val="51030EAC"/>
    <w:rsid w:val="51C14BE0"/>
    <w:rsid w:val="51CB7D46"/>
    <w:rsid w:val="51E43E53"/>
    <w:rsid w:val="51F56E21"/>
    <w:rsid w:val="522E51B5"/>
    <w:rsid w:val="52331F4D"/>
    <w:rsid w:val="5257088E"/>
    <w:rsid w:val="527D77B0"/>
    <w:rsid w:val="52C54D22"/>
    <w:rsid w:val="52E146DE"/>
    <w:rsid w:val="52ED7EB8"/>
    <w:rsid w:val="52F04175"/>
    <w:rsid w:val="52FD6609"/>
    <w:rsid w:val="531D679D"/>
    <w:rsid w:val="532A4FCA"/>
    <w:rsid w:val="53473CAC"/>
    <w:rsid w:val="5380220E"/>
    <w:rsid w:val="5397572E"/>
    <w:rsid w:val="540167EA"/>
    <w:rsid w:val="542E5776"/>
    <w:rsid w:val="545D24E0"/>
    <w:rsid w:val="54624EF9"/>
    <w:rsid w:val="5488269F"/>
    <w:rsid w:val="54BD7B6A"/>
    <w:rsid w:val="54EB3E30"/>
    <w:rsid w:val="54FB30AE"/>
    <w:rsid w:val="55034ADA"/>
    <w:rsid w:val="550426D4"/>
    <w:rsid w:val="55140B0F"/>
    <w:rsid w:val="55294BE5"/>
    <w:rsid w:val="553F71CC"/>
    <w:rsid w:val="557B1448"/>
    <w:rsid w:val="5616392C"/>
    <w:rsid w:val="561E7C11"/>
    <w:rsid w:val="56AE18F5"/>
    <w:rsid w:val="56D81D05"/>
    <w:rsid w:val="56E00AD7"/>
    <w:rsid w:val="573C32E7"/>
    <w:rsid w:val="57426C3F"/>
    <w:rsid w:val="578258AC"/>
    <w:rsid w:val="57C81965"/>
    <w:rsid w:val="580A2D86"/>
    <w:rsid w:val="58165463"/>
    <w:rsid w:val="582C6E81"/>
    <w:rsid w:val="584D1792"/>
    <w:rsid w:val="588E4986"/>
    <w:rsid w:val="589B629D"/>
    <w:rsid w:val="591B1765"/>
    <w:rsid w:val="591C54D1"/>
    <w:rsid w:val="592D72CD"/>
    <w:rsid w:val="592E7F8D"/>
    <w:rsid w:val="59577589"/>
    <w:rsid w:val="5988613C"/>
    <w:rsid w:val="59C17853"/>
    <w:rsid w:val="5A712EBC"/>
    <w:rsid w:val="5AB51D75"/>
    <w:rsid w:val="5AC05A01"/>
    <w:rsid w:val="5AF656FC"/>
    <w:rsid w:val="5B311C4D"/>
    <w:rsid w:val="5B5B5B6D"/>
    <w:rsid w:val="5B5E42B6"/>
    <w:rsid w:val="5B9A1288"/>
    <w:rsid w:val="5BA70740"/>
    <w:rsid w:val="5BD42FB6"/>
    <w:rsid w:val="5BE269AB"/>
    <w:rsid w:val="5C183334"/>
    <w:rsid w:val="5C305DC8"/>
    <w:rsid w:val="5C3A07E6"/>
    <w:rsid w:val="5CC67F1E"/>
    <w:rsid w:val="5CE6284A"/>
    <w:rsid w:val="5CEA1B8E"/>
    <w:rsid w:val="5D1415E7"/>
    <w:rsid w:val="5D4B0425"/>
    <w:rsid w:val="5D5E325E"/>
    <w:rsid w:val="5D8F093E"/>
    <w:rsid w:val="5DA96089"/>
    <w:rsid w:val="5E5A1E57"/>
    <w:rsid w:val="5E8B792B"/>
    <w:rsid w:val="5ED725C4"/>
    <w:rsid w:val="5EDB5BBB"/>
    <w:rsid w:val="5F007703"/>
    <w:rsid w:val="5F123E80"/>
    <w:rsid w:val="5F2C2CBD"/>
    <w:rsid w:val="5F6D732B"/>
    <w:rsid w:val="600D574A"/>
    <w:rsid w:val="60610DE4"/>
    <w:rsid w:val="61010E20"/>
    <w:rsid w:val="613B14AA"/>
    <w:rsid w:val="62192EF1"/>
    <w:rsid w:val="62271AF5"/>
    <w:rsid w:val="62A317C0"/>
    <w:rsid w:val="62A75D61"/>
    <w:rsid w:val="63232E34"/>
    <w:rsid w:val="635F1EB8"/>
    <w:rsid w:val="63616C81"/>
    <w:rsid w:val="63623991"/>
    <w:rsid w:val="638F69B3"/>
    <w:rsid w:val="63DD7D4A"/>
    <w:rsid w:val="63F857CB"/>
    <w:rsid w:val="64477D15"/>
    <w:rsid w:val="64C0699F"/>
    <w:rsid w:val="65117710"/>
    <w:rsid w:val="655C6EC2"/>
    <w:rsid w:val="65727CEC"/>
    <w:rsid w:val="65F53CE6"/>
    <w:rsid w:val="66032B1F"/>
    <w:rsid w:val="66717B76"/>
    <w:rsid w:val="66AD5901"/>
    <w:rsid w:val="679D50C3"/>
    <w:rsid w:val="67A413E0"/>
    <w:rsid w:val="67BA6783"/>
    <w:rsid w:val="67C266E5"/>
    <w:rsid w:val="67C917AF"/>
    <w:rsid w:val="67D23368"/>
    <w:rsid w:val="68586D68"/>
    <w:rsid w:val="68672D95"/>
    <w:rsid w:val="68EC719F"/>
    <w:rsid w:val="68F217EE"/>
    <w:rsid w:val="69227640"/>
    <w:rsid w:val="693C31D5"/>
    <w:rsid w:val="6951636D"/>
    <w:rsid w:val="699549AF"/>
    <w:rsid w:val="69DC60BE"/>
    <w:rsid w:val="69FC1FD3"/>
    <w:rsid w:val="6A206134"/>
    <w:rsid w:val="6A9E1867"/>
    <w:rsid w:val="6ABB4F0E"/>
    <w:rsid w:val="6AE8597A"/>
    <w:rsid w:val="6C036335"/>
    <w:rsid w:val="6C6C27E9"/>
    <w:rsid w:val="6C8B6986"/>
    <w:rsid w:val="6CD10AB4"/>
    <w:rsid w:val="6CFB417B"/>
    <w:rsid w:val="6D175559"/>
    <w:rsid w:val="6D426A55"/>
    <w:rsid w:val="6D7D1B02"/>
    <w:rsid w:val="6D915A92"/>
    <w:rsid w:val="6DE27494"/>
    <w:rsid w:val="6E1364CA"/>
    <w:rsid w:val="6E300BEC"/>
    <w:rsid w:val="6E6A7C25"/>
    <w:rsid w:val="6E9061D3"/>
    <w:rsid w:val="6ED34695"/>
    <w:rsid w:val="6F150B2E"/>
    <w:rsid w:val="6F672FB3"/>
    <w:rsid w:val="6FE83DDF"/>
    <w:rsid w:val="70025857"/>
    <w:rsid w:val="7004106F"/>
    <w:rsid w:val="70A01CCD"/>
    <w:rsid w:val="70E92068"/>
    <w:rsid w:val="714F1AFD"/>
    <w:rsid w:val="716D2C12"/>
    <w:rsid w:val="71781445"/>
    <w:rsid w:val="71FB0AA3"/>
    <w:rsid w:val="72026398"/>
    <w:rsid w:val="727047C9"/>
    <w:rsid w:val="72C63DB7"/>
    <w:rsid w:val="72D1327B"/>
    <w:rsid w:val="73251271"/>
    <w:rsid w:val="736128B8"/>
    <w:rsid w:val="737B299E"/>
    <w:rsid w:val="73907765"/>
    <w:rsid w:val="73991EC4"/>
    <w:rsid w:val="73AE76D8"/>
    <w:rsid w:val="73BF07B8"/>
    <w:rsid w:val="73FD42CD"/>
    <w:rsid w:val="74361289"/>
    <w:rsid w:val="744B1B4A"/>
    <w:rsid w:val="74AC234E"/>
    <w:rsid w:val="74AD5111"/>
    <w:rsid w:val="74B4695C"/>
    <w:rsid w:val="74BB6F1C"/>
    <w:rsid w:val="750C379E"/>
    <w:rsid w:val="75145A73"/>
    <w:rsid w:val="75F079F4"/>
    <w:rsid w:val="760C3FD4"/>
    <w:rsid w:val="76570780"/>
    <w:rsid w:val="765D3610"/>
    <w:rsid w:val="76777221"/>
    <w:rsid w:val="767E788E"/>
    <w:rsid w:val="76D10C9C"/>
    <w:rsid w:val="76D12802"/>
    <w:rsid w:val="76D22A52"/>
    <w:rsid w:val="76D92C77"/>
    <w:rsid w:val="772261A7"/>
    <w:rsid w:val="77330022"/>
    <w:rsid w:val="776976FF"/>
    <w:rsid w:val="78BB1294"/>
    <w:rsid w:val="78DE45D4"/>
    <w:rsid w:val="7905562D"/>
    <w:rsid w:val="791E1AA1"/>
    <w:rsid w:val="79261983"/>
    <w:rsid w:val="79435B8B"/>
    <w:rsid w:val="79B822C5"/>
    <w:rsid w:val="7A1C30EF"/>
    <w:rsid w:val="7A322F0A"/>
    <w:rsid w:val="7A5E3BA7"/>
    <w:rsid w:val="7A9503C1"/>
    <w:rsid w:val="7AB51B72"/>
    <w:rsid w:val="7ACD3C36"/>
    <w:rsid w:val="7B0609C6"/>
    <w:rsid w:val="7B0918C2"/>
    <w:rsid w:val="7B4C752D"/>
    <w:rsid w:val="7BFC38E6"/>
    <w:rsid w:val="7C7539FB"/>
    <w:rsid w:val="7CB517A3"/>
    <w:rsid w:val="7D657195"/>
    <w:rsid w:val="7D7F326C"/>
    <w:rsid w:val="7D9374AC"/>
    <w:rsid w:val="7DA731B1"/>
    <w:rsid w:val="7DFC6541"/>
    <w:rsid w:val="7E422AD9"/>
    <w:rsid w:val="7E652E22"/>
    <w:rsid w:val="7E932688"/>
    <w:rsid w:val="7EF84B2C"/>
    <w:rsid w:val="7F091F6A"/>
    <w:rsid w:val="7F455119"/>
    <w:rsid w:val="7F9D30FD"/>
    <w:rsid w:val="7FC46E0C"/>
    <w:rsid w:val="D5FEA808"/>
    <w:rsid w:val="EDBF0842"/>
    <w:rsid w:val="FDDDE27E"/>
    <w:rsid w:val="FEF7E154"/>
    <w:rsid w:val="FF3E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hd w:val="clear" w:color="auto" w:fill="FFFFFF"/>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2"/>
    <w:qFormat/>
    <w:uiPriority w:val="9"/>
    <w:pPr>
      <w:keepNext/>
      <w:keepLines/>
      <w:spacing w:before="120" w:after="120"/>
      <w:ind w:firstLine="0" w:firstLineChars="0"/>
      <w:jc w:val="center"/>
      <w:outlineLvl w:val="0"/>
    </w:pPr>
    <w:rPr>
      <w:rFonts w:eastAsia="黑体"/>
      <w:b/>
      <w:bCs/>
      <w:kern w:val="44"/>
      <w:szCs w:val="44"/>
    </w:rPr>
  </w:style>
  <w:style w:type="paragraph" w:styleId="3">
    <w:name w:val="heading 2"/>
    <w:basedOn w:val="1"/>
    <w:next w:val="1"/>
    <w:link w:val="34"/>
    <w:qFormat/>
    <w:uiPriority w:val="9"/>
    <w:pPr>
      <w:keepNext/>
      <w:keepLines/>
      <w:spacing w:before="260" w:after="260" w:line="416" w:lineRule="atLeast"/>
      <w:outlineLvl w:val="1"/>
    </w:pPr>
    <w:rPr>
      <w:rFonts w:ascii="等线 Light" w:hAnsi="等线 Light" w:eastAsia="等线 Light"/>
      <w:b/>
      <w:bCs/>
      <w:szCs w:val="32"/>
    </w:rPr>
  </w:style>
  <w:style w:type="paragraph" w:styleId="4">
    <w:name w:val="heading 3"/>
    <w:basedOn w:val="1"/>
    <w:next w:val="1"/>
    <w:link w:val="56"/>
    <w:semiHidden/>
    <w:unhideWhenUsed/>
    <w:qFormat/>
    <w:uiPriority w:val="9"/>
    <w:pPr>
      <w:keepNext/>
      <w:keepLines/>
      <w:shd w:val="clear" w:color="auto" w:fill="auto"/>
      <w:spacing w:before="260" w:after="260" w:line="416" w:lineRule="atLeast"/>
      <w:outlineLvl w:val="2"/>
    </w:pPr>
    <w:rPr>
      <w:b/>
      <w:bCs/>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semiHidden/>
    <w:qFormat/>
    <w:uiPriority w:val="99"/>
    <w:pPr>
      <w:shd w:val="clear" w:color="auto" w:fill="000080"/>
    </w:pPr>
    <w:rPr>
      <w:rFonts w:ascii="Calibri" w:hAnsi="Calibri" w:eastAsia="宋体"/>
      <w:kern w:val="0"/>
      <w:sz w:val="20"/>
      <w:szCs w:val="20"/>
    </w:rPr>
  </w:style>
  <w:style w:type="paragraph" w:styleId="6">
    <w:name w:val="annotation text"/>
    <w:basedOn w:val="1"/>
    <w:link w:val="40"/>
    <w:qFormat/>
    <w:uiPriority w:val="99"/>
    <w:pPr>
      <w:jc w:val="left"/>
    </w:pPr>
    <w:rPr>
      <w:rFonts w:eastAsia="宋体"/>
      <w:kern w:val="0"/>
      <w:sz w:val="20"/>
      <w:szCs w:val="24"/>
    </w:rPr>
  </w:style>
  <w:style w:type="paragraph" w:styleId="7">
    <w:name w:val="toc 3"/>
    <w:basedOn w:val="1"/>
    <w:next w:val="1"/>
    <w:unhideWhenUsed/>
    <w:qFormat/>
    <w:uiPriority w:val="39"/>
    <w:pPr>
      <w:widowControl/>
      <w:spacing w:after="100" w:line="276" w:lineRule="auto"/>
      <w:ind w:left="440"/>
      <w:jc w:val="left"/>
    </w:pPr>
    <w:rPr>
      <w:rFonts w:ascii="Calibri" w:hAnsi="Calibri" w:eastAsia="宋体"/>
      <w:kern w:val="0"/>
      <w:sz w:val="22"/>
    </w:rPr>
  </w:style>
  <w:style w:type="paragraph" w:styleId="8">
    <w:name w:val="Date"/>
    <w:basedOn w:val="1"/>
    <w:next w:val="1"/>
    <w:link w:val="45"/>
    <w:unhideWhenUsed/>
    <w:qFormat/>
    <w:uiPriority w:val="99"/>
    <w:pPr>
      <w:ind w:left="100" w:leftChars="2500"/>
    </w:pPr>
    <w:rPr>
      <w:rFonts w:ascii="Calibri" w:hAnsi="Calibri" w:eastAsia="宋体"/>
      <w:kern w:val="0"/>
      <w:sz w:val="20"/>
      <w:szCs w:val="20"/>
    </w:rPr>
  </w:style>
  <w:style w:type="paragraph" w:styleId="9">
    <w:name w:val="Balloon Text"/>
    <w:basedOn w:val="1"/>
    <w:link w:val="23"/>
    <w:unhideWhenUsed/>
    <w:qFormat/>
    <w:uiPriority w:val="99"/>
    <w:rPr>
      <w:rFonts w:ascii="Calibri" w:hAnsi="Calibri" w:eastAsia="宋体"/>
      <w:kern w:val="0"/>
      <w:sz w:val="18"/>
      <w:szCs w:val="18"/>
    </w:rPr>
  </w:style>
  <w:style w:type="paragraph" w:styleId="10">
    <w:name w:val="footer"/>
    <w:basedOn w:val="1"/>
    <w:link w:val="46"/>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11">
    <w:name w:val="header"/>
    <w:basedOn w:val="1"/>
    <w:link w:val="36"/>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styleId="12">
    <w:name w:val="toc 1"/>
    <w:basedOn w:val="1"/>
    <w:next w:val="1"/>
    <w:unhideWhenUsed/>
    <w:qFormat/>
    <w:uiPriority w:val="39"/>
    <w:pPr>
      <w:widowControl/>
      <w:spacing w:after="100" w:line="276" w:lineRule="auto"/>
      <w:jc w:val="left"/>
    </w:pPr>
    <w:rPr>
      <w:rFonts w:ascii="Calibri" w:hAnsi="Calibri" w:eastAsia="宋体"/>
      <w:kern w:val="0"/>
      <w:sz w:val="22"/>
    </w:rPr>
  </w:style>
  <w:style w:type="paragraph" w:styleId="13">
    <w:name w:val="toc 2"/>
    <w:basedOn w:val="1"/>
    <w:next w:val="1"/>
    <w:unhideWhenUsed/>
    <w:qFormat/>
    <w:uiPriority w:val="39"/>
    <w:pPr>
      <w:widowControl/>
      <w:spacing w:after="100" w:line="276" w:lineRule="auto"/>
      <w:ind w:left="220"/>
      <w:jc w:val="left"/>
    </w:pPr>
    <w:rPr>
      <w:rFonts w:ascii="Calibri" w:hAnsi="Calibri" w:eastAsia="宋体"/>
      <w:kern w:val="0"/>
      <w:sz w:val="22"/>
    </w:rPr>
  </w:style>
  <w:style w:type="paragraph" w:styleId="14">
    <w:name w:val="Normal (Web)"/>
    <w:basedOn w:val="1"/>
    <w:qFormat/>
    <w:uiPriority w:val="99"/>
    <w:pPr>
      <w:widowControl/>
      <w:jc w:val="left"/>
    </w:pPr>
    <w:rPr>
      <w:rFonts w:ascii="宋体" w:hAnsi="宋体" w:eastAsia="宋体" w:cs="宋体"/>
      <w:kern w:val="0"/>
      <w:sz w:val="24"/>
      <w:szCs w:val="24"/>
    </w:rPr>
  </w:style>
  <w:style w:type="paragraph" w:styleId="15">
    <w:name w:val="Title"/>
    <w:basedOn w:val="1"/>
    <w:next w:val="1"/>
    <w:link w:val="61"/>
    <w:qFormat/>
    <w:uiPriority w:val="10"/>
    <w:pPr>
      <w:spacing w:line="640" w:lineRule="exact"/>
      <w:ind w:firstLine="0" w:firstLineChars="0"/>
      <w:jc w:val="center"/>
      <w:outlineLvl w:val="0"/>
    </w:pPr>
    <w:rPr>
      <w:rFonts w:eastAsia="方正小标宋_GBK" w:asciiTheme="majorHAnsi" w:hAnsiTheme="majorHAnsi" w:cstheme="majorBidi"/>
      <w:bCs/>
      <w:sz w:val="44"/>
      <w:szCs w:val="32"/>
    </w:rPr>
  </w:style>
  <w:style w:type="paragraph" w:styleId="16">
    <w:name w:val="annotation subject"/>
    <w:basedOn w:val="6"/>
    <w:next w:val="6"/>
    <w:link w:val="48"/>
    <w:unhideWhenUsed/>
    <w:qFormat/>
    <w:uiPriority w:val="99"/>
    <w:rPr>
      <w:b/>
      <w:bCs/>
    </w:rPr>
  </w:style>
  <w:style w:type="character" w:styleId="19">
    <w:name w:val="Strong"/>
    <w:qFormat/>
    <w:uiPriority w:val="22"/>
    <w:rPr>
      <w:rFonts w:eastAsia="黑体"/>
      <w:b/>
      <w:bCs/>
      <w:sz w:val="32"/>
    </w:rPr>
  </w:style>
  <w:style w:type="character" w:styleId="20">
    <w:name w:val="page number"/>
    <w:qFormat/>
    <w:uiPriority w:val="99"/>
  </w:style>
  <w:style w:type="character" w:styleId="21">
    <w:name w:val="Hyperlink"/>
    <w:qFormat/>
    <w:uiPriority w:val="99"/>
    <w:rPr>
      <w:color w:val="0000FF"/>
      <w:u w:val="single"/>
    </w:rPr>
  </w:style>
  <w:style w:type="character" w:styleId="22">
    <w:name w:val="annotation reference"/>
    <w:qFormat/>
    <w:uiPriority w:val="99"/>
    <w:rPr>
      <w:sz w:val="21"/>
      <w:szCs w:val="21"/>
    </w:rPr>
  </w:style>
  <w:style w:type="character" w:customStyle="1" w:styleId="23">
    <w:name w:val="批注框文本 字符"/>
    <w:link w:val="9"/>
    <w:semiHidden/>
    <w:qFormat/>
    <w:uiPriority w:val="99"/>
    <w:rPr>
      <w:rFonts w:ascii="Calibri" w:hAnsi="Calibri" w:eastAsia="宋体" w:cs="Times New Roman"/>
      <w:sz w:val="18"/>
      <w:szCs w:val="18"/>
    </w:rPr>
  </w:style>
  <w:style w:type="character" w:customStyle="1" w:styleId="24">
    <w:name w:val="文章标题 Char"/>
    <w:link w:val="25"/>
    <w:qFormat/>
    <w:uiPriority w:val="0"/>
    <w:rPr>
      <w:rFonts w:ascii="方正小标宋简体" w:eastAsia="方正小标宋简体"/>
      <w:sz w:val="44"/>
      <w:szCs w:val="44"/>
    </w:rPr>
  </w:style>
  <w:style w:type="paragraph" w:customStyle="1" w:styleId="25">
    <w:name w:val="文章标题"/>
    <w:basedOn w:val="1"/>
    <w:link w:val="24"/>
    <w:qFormat/>
    <w:uiPriority w:val="0"/>
    <w:pPr>
      <w:ind w:firstLine="196" w:firstLineChars="45"/>
      <w:jc w:val="center"/>
    </w:pPr>
    <w:rPr>
      <w:rFonts w:ascii="方正小标宋简体" w:eastAsia="方正小标宋简体"/>
      <w:kern w:val="0"/>
      <w:sz w:val="44"/>
      <w:szCs w:val="44"/>
    </w:rPr>
  </w:style>
  <w:style w:type="character" w:customStyle="1" w:styleId="26">
    <w:name w:val="文档结构图 字符"/>
    <w:link w:val="5"/>
    <w:semiHidden/>
    <w:qFormat/>
    <w:uiPriority w:val="99"/>
    <w:rPr>
      <w:rFonts w:ascii="Calibri" w:hAnsi="Calibri" w:eastAsia="宋体" w:cs="Times New Roman"/>
      <w:shd w:val="clear" w:color="auto" w:fill="000080"/>
    </w:rPr>
  </w:style>
  <w:style w:type="character" w:customStyle="1" w:styleId="27">
    <w:name w:val="批注文字 Char"/>
    <w:qFormat/>
    <w:uiPriority w:val="99"/>
    <w:rPr>
      <w:rFonts w:ascii="Times New Roman" w:hAnsi="Times New Roman" w:eastAsia="宋体" w:cs="Times New Roman"/>
      <w:szCs w:val="24"/>
    </w:rPr>
  </w:style>
  <w:style w:type="character" w:customStyle="1" w:styleId="28">
    <w:name w:val="文档结构图 Char"/>
    <w:semiHidden/>
    <w:qFormat/>
    <w:uiPriority w:val="99"/>
    <w:rPr>
      <w:rFonts w:ascii="Calibri" w:hAnsi="Calibri" w:eastAsia="宋体" w:cs="Times New Roman"/>
      <w:shd w:val="clear" w:color="auto" w:fill="000080"/>
    </w:rPr>
  </w:style>
  <w:style w:type="character" w:customStyle="1" w:styleId="29">
    <w:name w:val="说明 字符"/>
    <w:link w:val="30"/>
    <w:qFormat/>
    <w:uiPriority w:val="0"/>
    <w:rPr>
      <w:rFonts w:ascii="Times New Roman" w:hAnsi="Times New Roman" w:eastAsia="楷体_GB2312"/>
      <w:kern w:val="2"/>
      <w:sz w:val="24"/>
      <w:szCs w:val="21"/>
      <w:shd w:val="clear" w:color="auto" w:fill="FFFFFF"/>
    </w:rPr>
  </w:style>
  <w:style w:type="paragraph" w:customStyle="1" w:styleId="30">
    <w:name w:val="说明"/>
    <w:basedOn w:val="1"/>
    <w:link w:val="29"/>
    <w:qFormat/>
    <w:uiPriority w:val="0"/>
    <w:pPr>
      <w:spacing w:line="320" w:lineRule="exact"/>
    </w:pPr>
    <w:rPr>
      <w:rFonts w:eastAsia="楷体_GB2312"/>
      <w:sz w:val="24"/>
      <w:szCs w:val="21"/>
    </w:rPr>
  </w:style>
  <w:style w:type="character" w:customStyle="1" w:styleId="31">
    <w:name w:val="批注文字 Char1"/>
    <w:qFormat/>
    <w:uiPriority w:val="99"/>
    <w:rPr>
      <w:kern w:val="2"/>
      <w:sz w:val="21"/>
      <w:szCs w:val="22"/>
    </w:rPr>
  </w:style>
  <w:style w:type="character" w:customStyle="1" w:styleId="32">
    <w:name w:val="标题 1 字符"/>
    <w:link w:val="2"/>
    <w:uiPriority w:val="9"/>
    <w:rPr>
      <w:rFonts w:eastAsia="黑体"/>
      <w:b/>
      <w:bCs/>
      <w:kern w:val="44"/>
      <w:sz w:val="32"/>
      <w:szCs w:val="44"/>
    </w:rPr>
  </w:style>
  <w:style w:type="character" w:customStyle="1" w:styleId="33">
    <w:name w:val="colorfont"/>
    <w:qFormat/>
    <w:uiPriority w:val="0"/>
  </w:style>
  <w:style w:type="character" w:customStyle="1" w:styleId="34">
    <w:name w:val="标题 2 字符"/>
    <w:link w:val="3"/>
    <w:semiHidden/>
    <w:qFormat/>
    <w:uiPriority w:val="9"/>
    <w:rPr>
      <w:rFonts w:ascii="等线 Light" w:hAnsi="等线 Light" w:eastAsia="等线 Light" w:cs="Times New Roman"/>
      <w:b/>
      <w:bCs/>
      <w:kern w:val="2"/>
      <w:sz w:val="32"/>
      <w:szCs w:val="32"/>
    </w:rPr>
  </w:style>
  <w:style w:type="character" w:customStyle="1" w:styleId="35">
    <w:name w:val="日期 Char"/>
    <w:uiPriority w:val="99"/>
    <w:rPr>
      <w:rFonts w:ascii="Calibri" w:hAnsi="Calibri" w:eastAsia="宋体" w:cs="Times New Roman"/>
    </w:rPr>
  </w:style>
  <w:style w:type="character" w:customStyle="1" w:styleId="36">
    <w:name w:val="页眉 字符"/>
    <w:link w:val="11"/>
    <w:qFormat/>
    <w:uiPriority w:val="99"/>
    <w:rPr>
      <w:rFonts w:ascii="Calibri" w:hAnsi="Calibri" w:eastAsia="宋体" w:cs="Times New Roman"/>
      <w:sz w:val="18"/>
      <w:szCs w:val="18"/>
    </w:rPr>
  </w:style>
  <w:style w:type="character" w:customStyle="1" w:styleId="37">
    <w:name w:val="apple-converted-space"/>
    <w:uiPriority w:val="0"/>
  </w:style>
  <w:style w:type="character" w:customStyle="1" w:styleId="38">
    <w:name w:val="批注框文本 Char"/>
    <w:semiHidden/>
    <w:uiPriority w:val="99"/>
    <w:rPr>
      <w:rFonts w:ascii="Calibri" w:hAnsi="Calibri" w:eastAsia="宋体" w:cs="Times New Roman"/>
      <w:sz w:val="18"/>
      <w:szCs w:val="18"/>
    </w:rPr>
  </w:style>
  <w:style w:type="character" w:customStyle="1" w:styleId="39">
    <w:name w:val="页眉 Char"/>
    <w:qFormat/>
    <w:uiPriority w:val="99"/>
    <w:rPr>
      <w:kern w:val="2"/>
      <w:sz w:val="18"/>
      <w:szCs w:val="18"/>
    </w:rPr>
  </w:style>
  <w:style w:type="character" w:customStyle="1" w:styleId="40">
    <w:name w:val="批注文字 字符"/>
    <w:link w:val="6"/>
    <w:qFormat/>
    <w:uiPriority w:val="99"/>
    <w:rPr>
      <w:rFonts w:ascii="Times New Roman" w:hAnsi="Times New Roman" w:eastAsia="宋体" w:cs="Times New Roman"/>
      <w:szCs w:val="24"/>
    </w:rPr>
  </w:style>
  <w:style w:type="character" w:customStyle="1" w:styleId="41">
    <w:name w:val="页脚 Char"/>
    <w:qFormat/>
    <w:uiPriority w:val="99"/>
    <w:rPr>
      <w:rFonts w:ascii="Calibri" w:hAnsi="Calibri" w:eastAsia="宋体" w:cs="Times New Roman"/>
      <w:sz w:val="18"/>
      <w:szCs w:val="18"/>
    </w:rPr>
  </w:style>
  <w:style w:type="character" w:customStyle="1" w:styleId="42">
    <w:name w:val="批注文字 字符1"/>
    <w:semiHidden/>
    <w:qFormat/>
    <w:locked/>
    <w:uiPriority w:val="99"/>
    <w:rPr>
      <w:rFonts w:ascii="等线" w:hAnsi="等线" w:eastAsia="仿宋_GB2312"/>
      <w:kern w:val="2"/>
      <w:sz w:val="32"/>
      <w:szCs w:val="22"/>
    </w:rPr>
  </w:style>
  <w:style w:type="character" w:customStyle="1" w:styleId="43">
    <w:name w:val="标题 1 Char"/>
    <w:qFormat/>
    <w:uiPriority w:val="9"/>
    <w:rPr>
      <w:rFonts w:eastAsia="黑体"/>
      <w:b/>
      <w:bCs/>
      <w:kern w:val="44"/>
      <w:sz w:val="32"/>
      <w:szCs w:val="44"/>
    </w:rPr>
  </w:style>
  <w:style w:type="character" w:customStyle="1" w:styleId="44">
    <w:name w:val="批注主题 Char"/>
    <w:semiHidden/>
    <w:qFormat/>
    <w:uiPriority w:val="99"/>
    <w:rPr>
      <w:rFonts w:ascii="Times New Roman" w:hAnsi="Times New Roman" w:eastAsia="宋体" w:cs="Times New Roman"/>
      <w:b/>
      <w:bCs/>
      <w:szCs w:val="24"/>
    </w:rPr>
  </w:style>
  <w:style w:type="character" w:customStyle="1" w:styleId="45">
    <w:name w:val="日期 字符"/>
    <w:link w:val="8"/>
    <w:qFormat/>
    <w:uiPriority w:val="99"/>
    <w:rPr>
      <w:rFonts w:ascii="Calibri" w:hAnsi="Calibri" w:eastAsia="宋体" w:cs="Times New Roman"/>
    </w:rPr>
  </w:style>
  <w:style w:type="character" w:customStyle="1" w:styleId="46">
    <w:name w:val="页脚 字符"/>
    <w:link w:val="10"/>
    <w:qFormat/>
    <w:uiPriority w:val="99"/>
    <w:rPr>
      <w:rFonts w:ascii="Calibri" w:hAnsi="Calibri" w:eastAsia="宋体" w:cs="Times New Roman"/>
      <w:sz w:val="18"/>
      <w:szCs w:val="18"/>
    </w:rPr>
  </w:style>
  <w:style w:type="character" w:customStyle="1" w:styleId="47">
    <w:name w:val="页眉 Char1"/>
    <w:qFormat/>
    <w:uiPriority w:val="99"/>
    <w:rPr>
      <w:rFonts w:ascii="Calibri" w:hAnsi="Calibri" w:eastAsia="宋体" w:cs="Times New Roman"/>
      <w:sz w:val="18"/>
      <w:szCs w:val="18"/>
    </w:rPr>
  </w:style>
  <w:style w:type="character" w:customStyle="1" w:styleId="48">
    <w:name w:val="批注主题 字符"/>
    <w:link w:val="16"/>
    <w:semiHidden/>
    <w:qFormat/>
    <w:uiPriority w:val="99"/>
    <w:rPr>
      <w:rFonts w:ascii="Times New Roman" w:hAnsi="Times New Roman" w:eastAsia="宋体" w:cs="Times New Roman"/>
      <w:b/>
      <w:bCs/>
      <w:szCs w:val="24"/>
    </w:rPr>
  </w:style>
  <w:style w:type="character" w:customStyle="1" w:styleId="49">
    <w:name w:val="标题 2 Char"/>
    <w:semiHidden/>
    <w:qFormat/>
    <w:uiPriority w:val="9"/>
    <w:rPr>
      <w:rFonts w:ascii="等线 Light" w:hAnsi="等线 Light" w:eastAsia="等线 Light" w:cs="Times New Roman"/>
      <w:b/>
      <w:bCs/>
      <w:kern w:val="2"/>
      <w:sz w:val="32"/>
      <w:szCs w:val="32"/>
    </w:rPr>
  </w:style>
  <w:style w:type="paragraph" w:customStyle="1" w:styleId="50">
    <w:name w:val="WPSOffice手动目录 1"/>
    <w:qFormat/>
    <w:uiPriority w:val="0"/>
    <w:rPr>
      <w:rFonts w:ascii="Calibri" w:hAnsi="Calibri" w:eastAsia="宋体" w:cs="Times New Roman"/>
      <w:lang w:val="en-US" w:eastAsia="zh-CN" w:bidi="ar-SA"/>
    </w:rPr>
  </w:style>
  <w:style w:type="paragraph" w:customStyle="1" w:styleId="51">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2">
    <w:name w:val="WPSOffice手动目录 2"/>
    <w:qFormat/>
    <w:uiPriority w:val="0"/>
    <w:pPr>
      <w:ind w:left="200" w:leftChars="200"/>
    </w:pPr>
    <w:rPr>
      <w:rFonts w:ascii="Calibri" w:hAnsi="Calibri" w:eastAsia="宋体" w:cs="Times New Roman"/>
      <w:lang w:val="en-US" w:eastAsia="zh-CN" w:bidi="ar-SA"/>
    </w:rPr>
  </w:style>
  <w:style w:type="paragraph" w:customStyle="1" w:styleId="53">
    <w:name w:val="修订1"/>
    <w:semiHidden/>
    <w:qFormat/>
    <w:uiPriority w:val="99"/>
    <w:rPr>
      <w:rFonts w:ascii="Calibri" w:hAnsi="Calibri" w:eastAsia="宋体" w:cs="Times New Roman"/>
      <w:kern w:val="2"/>
      <w:sz w:val="21"/>
      <w:szCs w:val="22"/>
      <w:lang w:val="en-US" w:eastAsia="zh-CN" w:bidi="ar-SA"/>
    </w:rPr>
  </w:style>
  <w:style w:type="paragraph" w:styleId="54">
    <w:name w:val="List Paragraph"/>
    <w:basedOn w:val="1"/>
    <w:qFormat/>
    <w:uiPriority w:val="99"/>
    <w:pPr>
      <w:ind w:firstLine="420"/>
    </w:pPr>
    <w:rPr>
      <w:rFonts w:ascii="Calibri" w:hAnsi="Calibri" w:eastAsia="宋体"/>
    </w:rPr>
  </w:style>
  <w:style w:type="paragraph" w:customStyle="1" w:styleId="55">
    <w:name w:val="reader-word-layer reader-word-s1-4"/>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6">
    <w:name w:val="标题 3 字符"/>
    <w:basedOn w:val="18"/>
    <w:link w:val="4"/>
    <w:semiHidden/>
    <w:qFormat/>
    <w:uiPriority w:val="9"/>
    <w:rPr>
      <w:rFonts w:ascii="Times New Roman" w:hAnsi="Times New Roman" w:eastAsia="仿宋_GB2312"/>
      <w:b/>
      <w:bCs/>
      <w:kern w:val="2"/>
      <w:sz w:val="32"/>
      <w:szCs w:val="32"/>
    </w:rPr>
  </w:style>
  <w:style w:type="paragraph" w:customStyle="1" w:styleId="57">
    <w:name w:val="列出段落1"/>
    <w:basedOn w:val="1"/>
    <w:qFormat/>
    <w:uiPriority w:val="99"/>
    <w:pPr>
      <w:shd w:val="clear" w:color="auto" w:fill="auto"/>
      <w:ind w:firstLine="420"/>
    </w:pPr>
    <w:rPr>
      <w:rFonts w:ascii="Calibri" w:hAnsi="Calibri" w:eastAsia="宋体"/>
    </w:rPr>
  </w:style>
  <w:style w:type="paragraph" w:customStyle="1" w:styleId="58">
    <w:name w:val="目录 31"/>
    <w:basedOn w:val="1"/>
    <w:next w:val="1"/>
    <w:unhideWhenUsed/>
    <w:qFormat/>
    <w:uiPriority w:val="39"/>
    <w:pPr>
      <w:widowControl/>
      <w:shd w:val="clear" w:color="auto" w:fill="auto"/>
      <w:spacing w:after="100" w:line="276" w:lineRule="auto"/>
      <w:ind w:left="440"/>
      <w:jc w:val="left"/>
    </w:pPr>
    <w:rPr>
      <w:rFonts w:ascii="Calibri" w:hAnsi="Calibri" w:eastAsia="宋体"/>
      <w:kern w:val="0"/>
      <w:sz w:val="22"/>
    </w:rPr>
  </w:style>
  <w:style w:type="paragraph" w:customStyle="1" w:styleId="59">
    <w:name w:val="目录 11"/>
    <w:basedOn w:val="1"/>
    <w:next w:val="1"/>
    <w:unhideWhenUsed/>
    <w:qFormat/>
    <w:uiPriority w:val="39"/>
    <w:pPr>
      <w:widowControl/>
      <w:shd w:val="clear" w:color="auto" w:fill="auto"/>
      <w:spacing w:after="100" w:line="276" w:lineRule="auto"/>
      <w:ind w:firstLine="0" w:firstLineChars="0"/>
      <w:jc w:val="left"/>
    </w:pPr>
    <w:rPr>
      <w:rFonts w:ascii="Calibri" w:hAnsi="Calibri" w:eastAsia="黑体"/>
      <w:kern w:val="0"/>
    </w:rPr>
  </w:style>
  <w:style w:type="paragraph" w:customStyle="1" w:styleId="60">
    <w:name w:val="目录 21"/>
    <w:basedOn w:val="1"/>
    <w:next w:val="1"/>
    <w:unhideWhenUsed/>
    <w:qFormat/>
    <w:uiPriority w:val="39"/>
    <w:pPr>
      <w:widowControl/>
      <w:shd w:val="clear" w:color="auto" w:fill="auto"/>
      <w:spacing w:after="100" w:line="276" w:lineRule="auto"/>
      <w:ind w:firstLine="0" w:firstLineChars="0"/>
      <w:jc w:val="left"/>
    </w:pPr>
    <w:rPr>
      <w:rFonts w:ascii="Calibri" w:hAnsi="Calibri" w:eastAsia="黑体"/>
      <w:kern w:val="0"/>
    </w:rPr>
  </w:style>
  <w:style w:type="character" w:customStyle="1" w:styleId="61">
    <w:name w:val="标题 字符"/>
    <w:basedOn w:val="18"/>
    <w:link w:val="15"/>
    <w:qFormat/>
    <w:uiPriority w:val="10"/>
    <w:rPr>
      <w:rFonts w:eastAsia="方正小标宋_GBK" w:asciiTheme="majorHAnsi" w:hAnsiTheme="majorHAnsi" w:cstheme="majorBidi"/>
      <w:bCs/>
      <w:kern w:val="2"/>
      <w:sz w:val="44"/>
      <w:szCs w:val="32"/>
      <w:shd w:val="clear" w:color="auto" w:fill="FFFFFF"/>
    </w:rPr>
  </w:style>
  <w:style w:type="paragraph" w:customStyle="1" w:styleId="62">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广州市城市更新局</Company>
  <Pages>24</Pages>
  <Words>1779</Words>
  <Characters>10144</Characters>
  <Lines>84</Lines>
  <Paragraphs>23</Paragraphs>
  <TotalTime>0</TotalTime>
  <ScaleCrop>false</ScaleCrop>
  <LinksUpToDate>false</LinksUpToDate>
  <CharactersWithSpaces>11900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2024-03-21T21:38:00Z</dcterms:created>
  <dc:creator>曾嘉恺</dc:creator>
  <cp:lastModifiedBy>hujunyan</cp:lastModifiedBy>
  <cp:lastPrinted>2023-03-28T20:55:00Z</cp:lastPrinted>
  <dcterms:modified xsi:type="dcterms:W3CDTF">2024-03-22T10:49:48Z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1CE74F80C00D4333A6B0FA8DB9FD9CB2_13</vt:lpwstr>
  </property>
</Properties>
</file>